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813" w:rsidRDefault="00B41D3E">
      <w:pPr>
        <w:pStyle w:val="BodyText"/>
        <w:ind w:left="86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445257" cy="7029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57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813" w:rsidRDefault="004F0813">
      <w:pPr>
        <w:pStyle w:val="BodyText"/>
        <w:spacing w:before="5"/>
        <w:rPr>
          <w:rFonts w:ascii="Times New Roman"/>
          <w:b w:val="0"/>
          <w:sz w:val="6"/>
        </w:rPr>
      </w:pPr>
    </w:p>
    <w:p w:rsidR="004F0813" w:rsidRDefault="00B41D3E">
      <w:pPr>
        <w:pStyle w:val="BodyText"/>
        <w:spacing w:before="44"/>
        <w:ind w:left="5542"/>
      </w:pPr>
      <w:r>
        <w:t>OPEN UNIVERSITY OF</w:t>
      </w:r>
      <w:r>
        <w:rPr>
          <w:spacing w:val="-11"/>
        </w:rPr>
        <w:t xml:space="preserve"> </w:t>
      </w:r>
      <w:r>
        <w:t>MAURITIUS</w:t>
      </w:r>
    </w:p>
    <w:p w:rsidR="004F0813" w:rsidRDefault="00B41D3E">
      <w:pPr>
        <w:spacing w:before="1"/>
        <w:ind w:right="295"/>
        <w:jc w:val="right"/>
        <w:rPr>
          <w:b/>
        </w:rPr>
      </w:pPr>
      <w:r>
        <w:rPr>
          <w:b/>
        </w:rPr>
        <w:t xml:space="preserve">Postgraduate </w:t>
      </w:r>
      <w:proofErr w:type="spellStart"/>
      <w:r>
        <w:rPr>
          <w:b/>
        </w:rPr>
        <w:t>Programme</w:t>
      </w:r>
      <w:proofErr w:type="spellEnd"/>
      <w:r>
        <w:rPr>
          <w:b/>
          <w:spacing w:val="-22"/>
        </w:rPr>
        <w:t xml:space="preserve"> </w:t>
      </w:r>
      <w:r>
        <w:rPr>
          <w:b/>
        </w:rPr>
        <w:t>specification</w:t>
      </w:r>
    </w:p>
    <w:p w:rsidR="004F0813" w:rsidRDefault="004F0813">
      <w:pPr>
        <w:ind w:right="293"/>
        <w:jc w:val="right"/>
        <w:rPr>
          <w:b/>
        </w:rPr>
      </w:pPr>
    </w:p>
    <w:p w:rsidR="004F0813" w:rsidRDefault="004F0813">
      <w:pPr>
        <w:rPr>
          <w:b/>
          <w:sz w:val="28"/>
        </w:rPr>
      </w:pPr>
    </w:p>
    <w:p w:rsidR="00102AE5" w:rsidRDefault="00102AE5">
      <w:pPr>
        <w:pStyle w:val="BodyText"/>
        <w:ind w:left="2930" w:right="3130"/>
        <w:jc w:val="center"/>
      </w:pPr>
      <w:r>
        <w:t xml:space="preserve">International </w:t>
      </w:r>
      <w:r w:rsidR="00B41D3E">
        <w:t>Graduate</w:t>
      </w:r>
      <w:r>
        <w:t xml:space="preserve"> </w:t>
      </w:r>
      <w:r w:rsidR="00B41D3E">
        <w:t xml:space="preserve">Diploma in </w:t>
      </w:r>
    </w:p>
    <w:p w:rsidR="004F0813" w:rsidRDefault="00B41D3E">
      <w:pPr>
        <w:pStyle w:val="BodyText"/>
        <w:ind w:left="2930" w:right="3130"/>
        <w:jc w:val="center"/>
      </w:pPr>
      <w:r>
        <w:t>Financial Crime</w:t>
      </w:r>
      <w:r w:rsidR="00102AE5">
        <w:t xml:space="preserve"> </w:t>
      </w:r>
      <w:r>
        <w:t>Compliance</w:t>
      </w:r>
      <w:r w:rsidR="00102AE5">
        <w:t xml:space="preserve"> (GDF</w:t>
      </w:r>
      <w:r w:rsidR="00F96949">
        <w:t>C)</w:t>
      </w:r>
    </w:p>
    <w:p w:rsidR="004F0813" w:rsidRDefault="004F0813">
      <w:pPr>
        <w:spacing w:before="12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6520"/>
      </w:tblGrid>
      <w:tr w:rsidR="004F0813">
        <w:trPr>
          <w:trHeight w:val="388"/>
        </w:trPr>
        <w:tc>
          <w:tcPr>
            <w:tcW w:w="9396" w:type="dxa"/>
            <w:gridSpan w:val="2"/>
            <w:shd w:val="clear" w:color="auto" w:fill="9CC2E4"/>
          </w:tcPr>
          <w:p w:rsidR="004F0813" w:rsidRDefault="00B41D3E">
            <w:pPr>
              <w:pStyle w:val="TableParagraph"/>
              <w:spacing w:before="59"/>
              <w:ind w:left="467"/>
              <w:rPr>
                <w:b/>
              </w:rPr>
            </w:pPr>
            <w:r>
              <w:rPr>
                <w:b/>
              </w:rPr>
              <w:t>1. PROGRAMME INFORMATION</w:t>
            </w:r>
          </w:p>
        </w:tc>
      </w:tr>
      <w:tr w:rsidR="004F0813">
        <w:trPr>
          <w:trHeight w:val="952"/>
        </w:trPr>
        <w:tc>
          <w:tcPr>
            <w:tcW w:w="2876" w:type="dxa"/>
            <w:shd w:val="clear" w:color="auto" w:fill="FFF1CC"/>
          </w:tcPr>
          <w:p w:rsidR="004F0813" w:rsidRDefault="004F081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F0813" w:rsidRDefault="00B41D3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Title of the final award</w:t>
            </w:r>
          </w:p>
        </w:tc>
        <w:tc>
          <w:tcPr>
            <w:tcW w:w="6520" w:type="dxa"/>
            <w:shd w:val="clear" w:color="auto" w:fill="FFF1CC"/>
          </w:tcPr>
          <w:p w:rsidR="004F0813" w:rsidRDefault="00F96949">
            <w:pPr>
              <w:pStyle w:val="TableParagraph"/>
              <w:ind w:left="2935" w:right="1757" w:hanging="11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International </w:t>
            </w:r>
            <w:r w:rsidR="00B41D3E">
              <w:rPr>
                <w:b/>
                <w:sz w:val="28"/>
              </w:rPr>
              <w:t>Graduate Diploma in Financial Crime Compliance (G</w:t>
            </w:r>
            <w:r>
              <w:rPr>
                <w:b/>
                <w:sz w:val="28"/>
              </w:rPr>
              <w:t>DFC</w:t>
            </w:r>
            <w:r w:rsidR="00B41D3E">
              <w:rPr>
                <w:b/>
                <w:sz w:val="28"/>
              </w:rPr>
              <w:t>)</w:t>
            </w:r>
          </w:p>
        </w:tc>
      </w:tr>
      <w:tr w:rsidR="004F0813">
        <w:trPr>
          <w:trHeight w:val="386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520" w:type="dxa"/>
          </w:tcPr>
          <w:p w:rsidR="004F0813" w:rsidRDefault="007114A8">
            <w:pPr>
              <w:pStyle w:val="TableParagraph"/>
              <w:spacing w:before="56"/>
              <w:ind w:left="107"/>
            </w:pPr>
            <w:r>
              <w:rPr>
                <w:color w:val="006FC0"/>
              </w:rPr>
              <w:t>OUpd003</w:t>
            </w:r>
          </w:p>
        </w:tc>
      </w:tr>
      <w:tr w:rsidR="004F0813">
        <w:trPr>
          <w:trHeight w:val="385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Awarding Body</w:t>
            </w:r>
          </w:p>
        </w:tc>
        <w:tc>
          <w:tcPr>
            <w:tcW w:w="6520" w:type="dxa"/>
          </w:tcPr>
          <w:p w:rsidR="004F0813" w:rsidRDefault="00B41D3E">
            <w:pPr>
              <w:pStyle w:val="TableParagraph"/>
              <w:spacing w:before="59"/>
              <w:ind w:left="107"/>
            </w:pPr>
            <w:r>
              <w:t>Open University of Mauritius</w:t>
            </w:r>
          </w:p>
        </w:tc>
      </w:tr>
      <w:tr w:rsidR="004F0813">
        <w:trPr>
          <w:trHeight w:val="388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Disciplinary Division</w:t>
            </w:r>
          </w:p>
        </w:tc>
        <w:tc>
          <w:tcPr>
            <w:tcW w:w="6520" w:type="dxa"/>
          </w:tcPr>
          <w:p w:rsidR="004F0813" w:rsidRDefault="00D1414C">
            <w:pPr>
              <w:pStyle w:val="TableParagraph"/>
              <w:spacing w:before="59"/>
              <w:ind w:left="107"/>
            </w:pPr>
            <w:r>
              <w:t>Financial Services</w:t>
            </w:r>
          </w:p>
        </w:tc>
      </w:tr>
      <w:tr w:rsidR="004F0813">
        <w:trPr>
          <w:trHeight w:val="385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Duration</w:t>
            </w:r>
          </w:p>
        </w:tc>
        <w:tc>
          <w:tcPr>
            <w:tcW w:w="6520" w:type="dxa"/>
          </w:tcPr>
          <w:p w:rsidR="004F0813" w:rsidRDefault="00B41D3E">
            <w:pPr>
              <w:pStyle w:val="TableParagraph"/>
              <w:spacing w:before="59"/>
              <w:ind w:left="107"/>
            </w:pPr>
            <w:r>
              <w:t>Minimum 1 year | Maximum 2 years</w:t>
            </w:r>
          </w:p>
        </w:tc>
      </w:tr>
      <w:tr w:rsidR="004F0813">
        <w:trPr>
          <w:trHeight w:val="388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Mode of Delivery</w:t>
            </w:r>
          </w:p>
        </w:tc>
        <w:tc>
          <w:tcPr>
            <w:tcW w:w="6520" w:type="dxa"/>
          </w:tcPr>
          <w:p w:rsidR="004F0813" w:rsidRDefault="00B41D3E">
            <w:pPr>
              <w:pStyle w:val="TableParagraph"/>
              <w:spacing w:before="59"/>
              <w:ind w:left="107"/>
            </w:pPr>
            <w:r>
              <w:rPr>
                <w:color w:val="212121"/>
              </w:rPr>
              <w:t>Face to face/Online sessions</w:t>
            </w:r>
          </w:p>
        </w:tc>
      </w:tr>
      <w:tr w:rsidR="004F0813">
        <w:trPr>
          <w:trHeight w:val="537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Frequency of contact hours</w:t>
            </w:r>
          </w:p>
        </w:tc>
        <w:tc>
          <w:tcPr>
            <w:tcW w:w="6520" w:type="dxa"/>
          </w:tcPr>
          <w:p w:rsidR="004F0813" w:rsidRDefault="00E807EE">
            <w:pPr>
              <w:pStyle w:val="TableParagraph"/>
              <w:spacing w:line="249" w:lineRule="exact"/>
              <w:ind w:left="107"/>
            </w:pPr>
            <w:r>
              <w:t>Weekly/Quarterly basis</w:t>
            </w:r>
          </w:p>
        </w:tc>
      </w:tr>
      <w:tr w:rsidR="004F0813">
        <w:trPr>
          <w:trHeight w:val="386"/>
        </w:trPr>
        <w:tc>
          <w:tcPr>
            <w:tcW w:w="2876" w:type="dxa"/>
            <w:shd w:val="clear" w:color="auto" w:fill="FFF1CC"/>
          </w:tcPr>
          <w:p w:rsidR="004F0813" w:rsidRDefault="00B41D3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6520" w:type="dxa"/>
            <w:shd w:val="clear" w:color="auto" w:fill="FFF1CC"/>
          </w:tcPr>
          <w:p w:rsidR="004F0813" w:rsidRDefault="00B41D3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  <w:color w:val="2D74B5"/>
              </w:rPr>
              <w:t>1</w:t>
            </w:r>
            <w:r w:rsidR="008F0974">
              <w:rPr>
                <w:b/>
                <w:color w:val="2D74B5"/>
              </w:rPr>
              <w:t>2</w:t>
            </w:r>
            <w:r>
              <w:rPr>
                <w:b/>
                <w:color w:val="2D74B5"/>
              </w:rPr>
              <w:t>0 credits</w:t>
            </w:r>
          </w:p>
        </w:tc>
      </w:tr>
      <w:tr w:rsidR="004F0813">
        <w:trPr>
          <w:trHeight w:val="386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MQA NQF level</w:t>
            </w:r>
          </w:p>
        </w:tc>
        <w:tc>
          <w:tcPr>
            <w:tcW w:w="6520" w:type="dxa"/>
          </w:tcPr>
          <w:p w:rsidR="004F0813" w:rsidRDefault="00B41D3E">
            <w:pPr>
              <w:pStyle w:val="TableParagraph"/>
              <w:spacing w:before="59"/>
              <w:ind w:left="107"/>
            </w:pPr>
            <w:r>
              <w:t>Level 9</w:t>
            </w:r>
          </w:p>
        </w:tc>
      </w:tr>
      <w:tr w:rsidR="004F0813">
        <w:trPr>
          <w:trHeight w:val="388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EHEA level</w:t>
            </w:r>
          </w:p>
        </w:tc>
        <w:tc>
          <w:tcPr>
            <w:tcW w:w="6520" w:type="dxa"/>
          </w:tcPr>
          <w:p w:rsidR="004F0813" w:rsidRDefault="00B41D3E">
            <w:pPr>
              <w:pStyle w:val="TableParagraph"/>
              <w:spacing w:before="59"/>
              <w:ind w:left="107"/>
            </w:pPr>
            <w:r>
              <w:t>Level 7</w:t>
            </w:r>
          </w:p>
        </w:tc>
      </w:tr>
      <w:tr w:rsidR="004F0813">
        <w:trPr>
          <w:trHeight w:val="386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External Accreditors</w:t>
            </w:r>
          </w:p>
        </w:tc>
        <w:tc>
          <w:tcPr>
            <w:tcW w:w="6520" w:type="dxa"/>
          </w:tcPr>
          <w:p w:rsidR="004F0813" w:rsidRDefault="00E807EE">
            <w:pPr>
              <w:pStyle w:val="TableParagraph"/>
              <w:spacing w:before="59"/>
              <w:ind w:left="107"/>
            </w:pPr>
            <w:r>
              <w:t>N/A</w:t>
            </w:r>
          </w:p>
        </w:tc>
      </w:tr>
      <w:tr w:rsidR="004F0813">
        <w:trPr>
          <w:trHeight w:val="388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Collaborative Partners</w:t>
            </w:r>
          </w:p>
        </w:tc>
        <w:tc>
          <w:tcPr>
            <w:tcW w:w="6520" w:type="dxa"/>
          </w:tcPr>
          <w:p w:rsidR="004F0813" w:rsidRDefault="00E807EE">
            <w:pPr>
              <w:pStyle w:val="TableParagraph"/>
              <w:spacing w:before="59"/>
              <w:ind w:left="107"/>
            </w:pPr>
            <w:r>
              <w:t>Financial Services Institute Ltd</w:t>
            </w:r>
          </w:p>
        </w:tc>
      </w:tr>
      <w:tr w:rsidR="004F0813">
        <w:trPr>
          <w:trHeight w:val="791"/>
        </w:trPr>
        <w:tc>
          <w:tcPr>
            <w:tcW w:w="2876" w:type="dxa"/>
          </w:tcPr>
          <w:p w:rsidR="004F0813" w:rsidRDefault="004F081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approval date</w:t>
            </w:r>
          </w:p>
        </w:tc>
        <w:tc>
          <w:tcPr>
            <w:tcW w:w="6520" w:type="dxa"/>
          </w:tcPr>
          <w:p w:rsidR="004F0813" w:rsidRDefault="004F081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F0813" w:rsidRDefault="0063602F">
            <w:pPr>
              <w:pStyle w:val="TableParagraph"/>
              <w:ind w:left="107"/>
            </w:pPr>
            <w:r>
              <w:t>January 2022</w:t>
            </w:r>
          </w:p>
        </w:tc>
      </w:tr>
      <w:tr w:rsidR="004F0813">
        <w:trPr>
          <w:trHeight w:val="385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Last revision</w:t>
            </w:r>
          </w:p>
        </w:tc>
        <w:tc>
          <w:tcPr>
            <w:tcW w:w="6520" w:type="dxa"/>
          </w:tcPr>
          <w:p w:rsidR="004F0813" w:rsidRDefault="00B41D3E">
            <w:pPr>
              <w:pStyle w:val="TableParagraph"/>
              <w:spacing w:before="59"/>
              <w:ind w:left="107"/>
            </w:pPr>
            <w:r>
              <w:t>Not applicable</w:t>
            </w:r>
          </w:p>
        </w:tc>
      </w:tr>
      <w:tr w:rsidR="004F0813">
        <w:trPr>
          <w:trHeight w:val="388"/>
        </w:trPr>
        <w:tc>
          <w:tcPr>
            <w:tcW w:w="2876" w:type="dxa"/>
          </w:tcPr>
          <w:p w:rsidR="004F0813" w:rsidRDefault="00B41D3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6520" w:type="dxa"/>
          </w:tcPr>
          <w:p w:rsidR="004F0813" w:rsidRDefault="00571147">
            <w:pPr>
              <w:pStyle w:val="TableParagraph"/>
              <w:spacing w:before="59"/>
              <w:ind w:left="107"/>
            </w:pPr>
            <w:r>
              <w:t>January 2022</w:t>
            </w:r>
          </w:p>
        </w:tc>
      </w:tr>
    </w:tbl>
    <w:p w:rsidR="004F0813" w:rsidRDefault="004F0813">
      <w:pPr>
        <w:sectPr w:rsidR="004F0813">
          <w:footerReference w:type="default" r:id="rId8"/>
          <w:type w:val="continuous"/>
          <w:pgSz w:w="12240" w:h="15840"/>
          <w:pgMar w:top="880" w:right="1140" w:bottom="1120" w:left="1340" w:header="720" w:footer="93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4F0813">
        <w:trPr>
          <w:trHeight w:val="280"/>
        </w:trPr>
        <w:tc>
          <w:tcPr>
            <w:tcW w:w="9352" w:type="dxa"/>
            <w:gridSpan w:val="2"/>
            <w:shd w:val="clear" w:color="auto" w:fill="9CC2E4"/>
          </w:tcPr>
          <w:p w:rsidR="004F0813" w:rsidRDefault="00B41D3E">
            <w:pPr>
              <w:pStyle w:val="TableParagraph"/>
              <w:spacing w:line="260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2. ENTRY REQUIREMENTS</w:t>
            </w:r>
          </w:p>
        </w:tc>
      </w:tr>
      <w:tr w:rsidR="004F0813" w:rsidTr="00140E6E">
        <w:trPr>
          <w:trHeight w:val="4520"/>
        </w:trPr>
        <w:tc>
          <w:tcPr>
            <w:tcW w:w="1980" w:type="dxa"/>
          </w:tcPr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F0813" w:rsidRDefault="00B41D3E">
            <w:pPr>
              <w:pStyle w:val="TableParagraph"/>
              <w:ind w:left="597"/>
              <w:rPr>
                <w:b/>
              </w:rPr>
            </w:pPr>
            <w:r>
              <w:rPr>
                <w:b/>
              </w:rPr>
              <w:t>General:</w:t>
            </w:r>
          </w:p>
        </w:tc>
        <w:tc>
          <w:tcPr>
            <w:tcW w:w="7372" w:type="dxa"/>
          </w:tcPr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 w:right="850"/>
            </w:pPr>
            <w:r>
              <w:t xml:space="preserve">General Entry Requirements under Direct Entry to Taught Postgraduate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Pr="0063602F" w:rsidRDefault="00B41D3E">
            <w:pPr>
              <w:pStyle w:val="TableParagraph"/>
              <w:ind w:left="107" w:right="673"/>
            </w:pPr>
            <w:r w:rsidRPr="0063602F">
              <w:t xml:space="preserve">A person will be admitted as a student for a Postgraduate </w:t>
            </w:r>
            <w:proofErr w:type="spellStart"/>
            <w:r w:rsidRPr="0063602F">
              <w:t>Programme</w:t>
            </w:r>
            <w:proofErr w:type="spellEnd"/>
            <w:r w:rsidRPr="0063602F">
              <w:t xml:space="preserve"> if he/she</w:t>
            </w:r>
          </w:p>
          <w:p w:rsidR="004F0813" w:rsidRPr="0063602F" w:rsidRDefault="004F0813">
            <w:pPr>
              <w:pStyle w:val="TableParagraph"/>
              <w:spacing w:before="11"/>
              <w:rPr>
                <w:sz w:val="21"/>
              </w:rPr>
            </w:pPr>
          </w:p>
          <w:p w:rsidR="004F0813" w:rsidRPr="0063602F" w:rsidRDefault="00B41D3E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ind w:right="97"/>
              <w:jc w:val="both"/>
            </w:pPr>
            <w:r w:rsidRPr="0063602F">
              <w:t>holds a</w:t>
            </w:r>
            <w:r w:rsidR="00E807EE" w:rsidRPr="0063602F">
              <w:t>n undergraduate</w:t>
            </w:r>
            <w:r w:rsidRPr="0063602F">
              <w:t xml:space="preserve"> degree from a </w:t>
            </w:r>
            <w:proofErr w:type="spellStart"/>
            <w:r w:rsidRPr="0063602F">
              <w:t>recognised</w:t>
            </w:r>
            <w:proofErr w:type="spellEnd"/>
            <w:r w:rsidRPr="0063602F">
              <w:t xml:space="preserve"> institution and has obtained a result, not below second-class</w:t>
            </w:r>
            <w:r w:rsidRPr="0063602F">
              <w:rPr>
                <w:spacing w:val="-5"/>
              </w:rPr>
              <w:t xml:space="preserve"> </w:t>
            </w:r>
            <w:r w:rsidRPr="0063602F">
              <w:t>second-division</w:t>
            </w:r>
          </w:p>
          <w:p w:rsidR="004F0813" w:rsidRPr="0063602F" w:rsidRDefault="004F0813">
            <w:pPr>
              <w:pStyle w:val="TableParagraph"/>
              <w:spacing w:before="1"/>
            </w:pPr>
          </w:p>
          <w:p w:rsidR="004F0813" w:rsidRPr="0063602F" w:rsidRDefault="00B41D3E">
            <w:pPr>
              <w:pStyle w:val="TableParagraph"/>
              <w:ind w:left="828"/>
            </w:pPr>
            <w:r w:rsidRPr="0063602F">
              <w:t>Or</w:t>
            </w:r>
          </w:p>
          <w:p w:rsidR="004F0813" w:rsidRPr="0063602F" w:rsidRDefault="004F0813">
            <w:pPr>
              <w:pStyle w:val="TableParagraph"/>
            </w:pPr>
          </w:p>
          <w:p w:rsidR="004F0813" w:rsidRDefault="0063602F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ind w:right="93"/>
              <w:jc w:val="both"/>
              <w:rPr>
                <w:b/>
              </w:rPr>
            </w:pPr>
            <w:r w:rsidRPr="0063602F">
              <w:t xml:space="preserve">Recognition of Prior Experiential Learning (RPEL) may be considered by the university for admission to this </w:t>
            </w:r>
            <w:proofErr w:type="spellStart"/>
            <w:r w:rsidRPr="0063602F">
              <w:t>programme</w:t>
            </w:r>
            <w:proofErr w:type="spellEnd"/>
            <w:r w:rsidRPr="0063602F">
              <w:t xml:space="preserve">, subject to approval of </w:t>
            </w:r>
            <w:r>
              <w:t>an</w:t>
            </w:r>
            <w:r w:rsidRPr="0063602F">
              <w:t xml:space="preserve"> Admission Committee. Applicants will be asked to pass an entry test.</w:t>
            </w:r>
          </w:p>
        </w:tc>
      </w:tr>
      <w:tr w:rsidR="004F0813">
        <w:trPr>
          <w:trHeight w:val="1989"/>
        </w:trPr>
        <w:tc>
          <w:tcPr>
            <w:tcW w:w="1980" w:type="dxa"/>
            <w:shd w:val="clear" w:color="auto" w:fill="FFF1CC"/>
          </w:tcPr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B41D3E">
            <w:pPr>
              <w:pStyle w:val="TableParagraph"/>
              <w:spacing w:before="187"/>
              <w:ind w:left="618" w:right="426" w:hanging="168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specific:</w:t>
            </w:r>
          </w:p>
        </w:tc>
        <w:tc>
          <w:tcPr>
            <w:tcW w:w="7372" w:type="dxa"/>
            <w:shd w:val="clear" w:color="auto" w:fill="FFF1CC"/>
          </w:tcPr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F0813" w:rsidRDefault="0063602F">
            <w:pPr>
              <w:pStyle w:val="TableParagraph"/>
              <w:ind w:left="1548"/>
              <w:rPr>
                <w:b/>
              </w:rPr>
            </w:pPr>
            <w:r>
              <w:rPr>
                <w:b/>
                <w:color w:val="2D74B5"/>
              </w:rPr>
              <w:t>None</w:t>
            </w:r>
          </w:p>
        </w:tc>
      </w:tr>
    </w:tbl>
    <w:p w:rsidR="004F0813" w:rsidRDefault="004F0813">
      <w:pPr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4F0813">
        <w:trPr>
          <w:trHeight w:val="268"/>
        </w:trPr>
        <w:tc>
          <w:tcPr>
            <w:tcW w:w="9352" w:type="dxa"/>
            <w:gridSpan w:val="2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3. PROGRAMME OVERVIEW</w:t>
            </w:r>
          </w:p>
        </w:tc>
      </w:tr>
      <w:tr w:rsidR="004F0813" w:rsidTr="00140E6E">
        <w:trPr>
          <w:trHeight w:val="3117"/>
        </w:trPr>
        <w:tc>
          <w:tcPr>
            <w:tcW w:w="1980" w:type="dxa"/>
          </w:tcPr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140E6E">
            <w:pPr>
              <w:pStyle w:val="TableParagraph"/>
              <w:spacing w:before="142" w:line="237" w:lineRule="auto"/>
              <w:ind w:left="107" w:right="104"/>
              <w:rPr>
                <w:b/>
              </w:rPr>
            </w:pPr>
            <w:r>
              <w:rPr>
                <w:b/>
              </w:rPr>
              <w:t>Ai</w:t>
            </w:r>
            <w:r w:rsidR="00B41D3E">
              <w:rPr>
                <w:b/>
              </w:rPr>
              <w:t xml:space="preserve">m and objectives of the </w:t>
            </w:r>
            <w:proofErr w:type="spellStart"/>
            <w:r w:rsidR="00B41D3E">
              <w:rPr>
                <w:b/>
              </w:rPr>
              <w:t>programme</w:t>
            </w:r>
            <w:proofErr w:type="spellEnd"/>
            <w:r w:rsidR="00B41D3E">
              <w:rPr>
                <w:b/>
              </w:rPr>
              <w:t>:</w:t>
            </w:r>
          </w:p>
        </w:tc>
        <w:tc>
          <w:tcPr>
            <w:tcW w:w="7372" w:type="dxa"/>
          </w:tcPr>
          <w:p w:rsidR="004F0813" w:rsidRDefault="004F081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E807EE" w:rsidRPr="00140E6E" w:rsidRDefault="00B41D3E" w:rsidP="00E807EE">
            <w:pPr>
              <w:pStyle w:val="TableParagraph"/>
              <w:ind w:left="107" w:right="93"/>
              <w:jc w:val="both"/>
            </w:pPr>
            <w:r>
              <w:t>The</w:t>
            </w:r>
            <w:r>
              <w:rPr>
                <w:spacing w:val="-13"/>
              </w:rPr>
              <w:t xml:space="preserve"> </w:t>
            </w:r>
            <w:r w:rsidR="00E807EE" w:rsidRPr="00140E6E">
              <w:rPr>
                <w:spacing w:val="-13"/>
              </w:rPr>
              <w:t xml:space="preserve">International </w:t>
            </w:r>
            <w:r w:rsidRPr="00140E6E">
              <w:rPr>
                <w:b/>
              </w:rPr>
              <w:t>Graduate</w:t>
            </w:r>
            <w:r w:rsidRPr="00140E6E">
              <w:rPr>
                <w:b/>
                <w:spacing w:val="-11"/>
              </w:rPr>
              <w:t xml:space="preserve"> </w:t>
            </w:r>
            <w:r w:rsidRPr="00140E6E">
              <w:rPr>
                <w:b/>
              </w:rPr>
              <w:t>Diploma</w:t>
            </w:r>
            <w:r w:rsidRPr="00140E6E">
              <w:rPr>
                <w:b/>
                <w:spacing w:val="-13"/>
              </w:rPr>
              <w:t xml:space="preserve"> </w:t>
            </w:r>
            <w:r w:rsidRPr="00140E6E">
              <w:rPr>
                <w:b/>
              </w:rPr>
              <w:t>in</w:t>
            </w:r>
            <w:r w:rsidRPr="00140E6E">
              <w:rPr>
                <w:b/>
                <w:spacing w:val="-15"/>
              </w:rPr>
              <w:t xml:space="preserve"> </w:t>
            </w:r>
            <w:r w:rsidRPr="00140E6E">
              <w:rPr>
                <w:b/>
              </w:rPr>
              <w:t>Financial Crime Compliance</w:t>
            </w:r>
            <w:r w:rsidRPr="00140E6E">
              <w:rPr>
                <w:b/>
                <w:spacing w:val="-12"/>
              </w:rPr>
              <w:t xml:space="preserve"> </w:t>
            </w:r>
            <w:r w:rsidRPr="00140E6E">
              <w:rPr>
                <w:b/>
              </w:rPr>
              <w:t>(GD</w:t>
            </w:r>
            <w:r w:rsidR="00140E6E">
              <w:rPr>
                <w:b/>
              </w:rPr>
              <w:t>FCC</w:t>
            </w:r>
            <w:r w:rsidRPr="00140E6E">
              <w:rPr>
                <w:b/>
              </w:rPr>
              <w:t>)</w:t>
            </w:r>
            <w:r w:rsidRPr="00140E6E">
              <w:rPr>
                <w:b/>
                <w:spacing w:val="-11"/>
              </w:rPr>
              <w:t xml:space="preserve"> </w:t>
            </w:r>
            <w:r w:rsidRPr="00140E6E">
              <w:t>is</w:t>
            </w:r>
            <w:r w:rsidRPr="00140E6E">
              <w:rPr>
                <w:spacing w:val="-13"/>
              </w:rPr>
              <w:t xml:space="preserve"> </w:t>
            </w:r>
            <w:r w:rsidRPr="00140E6E">
              <w:t>a</w:t>
            </w:r>
            <w:r w:rsidRPr="00140E6E">
              <w:rPr>
                <w:spacing w:val="-14"/>
              </w:rPr>
              <w:t xml:space="preserve"> </w:t>
            </w:r>
            <w:r w:rsidRPr="00140E6E">
              <w:t>1-year</w:t>
            </w:r>
            <w:r w:rsidRPr="00140E6E">
              <w:rPr>
                <w:spacing w:val="-11"/>
              </w:rPr>
              <w:t xml:space="preserve"> </w:t>
            </w:r>
            <w:proofErr w:type="spellStart"/>
            <w:r w:rsidRPr="00140E6E">
              <w:t>programme</w:t>
            </w:r>
            <w:proofErr w:type="spellEnd"/>
            <w:r w:rsidRPr="00140E6E">
              <w:rPr>
                <w:spacing w:val="-12"/>
              </w:rPr>
              <w:t xml:space="preserve"> </w:t>
            </w:r>
            <w:r w:rsidR="00140E6E">
              <w:rPr>
                <w:spacing w:val="-12"/>
              </w:rPr>
              <w:t xml:space="preserve">geared towards professionals in the financial sector. </w:t>
            </w:r>
          </w:p>
          <w:p w:rsidR="004F0813" w:rsidRDefault="00140E6E">
            <w:pPr>
              <w:pStyle w:val="TableParagraph"/>
              <w:ind w:left="107" w:right="97"/>
              <w:jc w:val="both"/>
            </w:pPr>
            <w:r w:rsidRPr="00140E6E">
              <w:t xml:space="preserve">The aim of this course is to provide students with a solid understanding of the regulatory environment, and an appreciation of the local &amp; global efforts in the fight against financial crime. This module will equip students with advanced knowledge of </w:t>
            </w:r>
            <w:r>
              <w:t>Anti Money Laundering (</w:t>
            </w:r>
            <w:r w:rsidRPr="00140E6E">
              <w:t>AML</w:t>
            </w:r>
            <w:r>
              <w:t>)</w:t>
            </w:r>
            <w:r w:rsidRPr="00140E6E">
              <w:t xml:space="preserve">, Risk and Compliance functions that are expected from compliance officers and </w:t>
            </w:r>
            <w:r>
              <w:t>Money Laundering Reporting Officers (</w:t>
            </w:r>
            <w:r w:rsidRPr="00140E6E">
              <w:t>MLROs</w:t>
            </w:r>
            <w:r>
              <w:t>)</w:t>
            </w:r>
            <w:r w:rsidRPr="00140E6E">
              <w:t>.</w:t>
            </w:r>
            <w:r w:rsidR="0063602F">
              <w:t xml:space="preserve"> </w:t>
            </w:r>
          </w:p>
        </w:tc>
      </w:tr>
      <w:tr w:rsidR="004F0813">
        <w:trPr>
          <w:trHeight w:val="702"/>
        </w:trPr>
        <w:tc>
          <w:tcPr>
            <w:tcW w:w="9352" w:type="dxa"/>
            <w:gridSpan w:val="2"/>
            <w:shd w:val="clear" w:color="auto" w:fill="FFF1CC"/>
          </w:tcPr>
          <w:p w:rsidR="004F0813" w:rsidRDefault="004F0813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4F0813" w:rsidRDefault="00B41D3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Intended Learning outcomes: After completing this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z w:val="20"/>
              </w:rPr>
              <w:t xml:space="preserve"> students will be able to:</w:t>
            </w:r>
          </w:p>
        </w:tc>
      </w:tr>
      <w:tr w:rsidR="004F0813" w:rsidTr="00140E6E">
        <w:trPr>
          <w:trHeight w:val="2674"/>
        </w:trPr>
        <w:tc>
          <w:tcPr>
            <w:tcW w:w="1980" w:type="dxa"/>
          </w:tcPr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F0813" w:rsidRDefault="00B41D3E">
            <w:pPr>
              <w:pStyle w:val="TableParagraph"/>
              <w:spacing w:line="237" w:lineRule="auto"/>
              <w:ind w:left="326" w:right="255" w:hanging="44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7372" w:type="dxa"/>
          </w:tcPr>
          <w:p w:rsidR="004F0813" w:rsidRDefault="004F0813">
            <w:pPr>
              <w:pStyle w:val="TableParagraph"/>
              <w:rPr>
                <w:b/>
                <w:sz w:val="27"/>
              </w:rPr>
            </w:pPr>
          </w:p>
          <w:p w:rsidR="00140E6E" w:rsidRDefault="00140E6E" w:rsidP="00140E6E">
            <w:pPr>
              <w:pStyle w:val="TableParagraph"/>
              <w:ind w:left="107" w:right="267"/>
            </w:pPr>
            <w:r>
              <w:t>K1: Clearly explain the Mauritian IFC, its offerings and regulatory environment</w:t>
            </w:r>
          </w:p>
          <w:p w:rsidR="00140E6E" w:rsidRDefault="00140E6E" w:rsidP="00140E6E">
            <w:pPr>
              <w:pStyle w:val="TableParagraph"/>
              <w:ind w:left="107" w:right="267"/>
            </w:pPr>
            <w:r>
              <w:t>K2: Demonstrate a thorough understanding of money laundering and terrorism financing and what is being done to prevent them</w:t>
            </w:r>
          </w:p>
          <w:p w:rsidR="00140E6E" w:rsidRDefault="00140E6E" w:rsidP="00140E6E">
            <w:pPr>
              <w:pStyle w:val="TableParagraph"/>
              <w:ind w:left="107" w:right="267"/>
            </w:pPr>
            <w:r>
              <w:t>K3: Understand high-risk factors and the vulnerabilities of some financial services and products</w:t>
            </w:r>
          </w:p>
          <w:p w:rsidR="00140E6E" w:rsidRDefault="00140E6E" w:rsidP="00140E6E">
            <w:pPr>
              <w:pStyle w:val="TableParagraph"/>
              <w:ind w:left="107" w:right="267"/>
            </w:pPr>
            <w:r>
              <w:t>K4: Explain and apply customer due diligence and monitoring procedures</w:t>
            </w:r>
          </w:p>
          <w:p w:rsidR="004F0813" w:rsidRDefault="00140E6E" w:rsidP="00140E6E">
            <w:pPr>
              <w:pStyle w:val="TableParagraph"/>
              <w:ind w:left="107" w:right="267"/>
            </w:pPr>
            <w:r>
              <w:t>K5: Evaluate current trends and international directions in AML/CFT</w:t>
            </w:r>
          </w:p>
        </w:tc>
      </w:tr>
      <w:tr w:rsidR="004F0813">
        <w:trPr>
          <w:trHeight w:val="2961"/>
        </w:trPr>
        <w:tc>
          <w:tcPr>
            <w:tcW w:w="1980" w:type="dxa"/>
          </w:tcPr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B41D3E">
            <w:pPr>
              <w:pStyle w:val="TableParagraph"/>
              <w:spacing w:before="137"/>
              <w:ind w:left="306"/>
              <w:rPr>
                <w:b/>
              </w:rPr>
            </w:pPr>
            <w:r>
              <w:rPr>
                <w:b/>
              </w:rPr>
              <w:t>Cognitive Skills</w:t>
            </w:r>
          </w:p>
        </w:tc>
        <w:tc>
          <w:tcPr>
            <w:tcW w:w="7372" w:type="dxa"/>
          </w:tcPr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140E6E" w:rsidRDefault="00140E6E" w:rsidP="00140E6E">
            <w:pPr>
              <w:pStyle w:val="TableParagraph"/>
              <w:ind w:left="107" w:right="267"/>
            </w:pPr>
            <w:r>
              <w:t>C</w:t>
            </w:r>
            <w:proofErr w:type="gramStart"/>
            <w:r>
              <w:t>1 :</w:t>
            </w:r>
            <w:proofErr w:type="gramEnd"/>
            <w:r>
              <w:t xml:space="preserve"> Be able to discharge their duties as MLRO and Compliance Officers</w:t>
            </w:r>
          </w:p>
          <w:p w:rsidR="00140E6E" w:rsidRDefault="00140E6E" w:rsidP="00140E6E">
            <w:pPr>
              <w:pStyle w:val="TableParagraph"/>
              <w:ind w:left="107" w:right="267"/>
            </w:pPr>
            <w:r>
              <w:t>C2: Be able to draw up a Business Risk Assessment as well as Policies, Procedures &amp; Controls to Combat ML/TF/PF</w:t>
            </w:r>
          </w:p>
          <w:p w:rsidR="00140E6E" w:rsidRPr="00140E6E" w:rsidRDefault="00140E6E" w:rsidP="00140E6E">
            <w:pPr>
              <w:pStyle w:val="TableParagraph"/>
              <w:ind w:left="107" w:right="267"/>
            </w:pPr>
            <w:r>
              <w:t xml:space="preserve">C3: Be able to design and calibrate an excel risk matrix to facilitate the gathering of CDD information in a risk-sensitive way </w:t>
            </w:r>
          </w:p>
          <w:p w:rsidR="004F0813" w:rsidRPr="00140E6E" w:rsidRDefault="00B41D3E">
            <w:pPr>
              <w:pStyle w:val="TableParagraph"/>
              <w:spacing w:before="1"/>
              <w:ind w:left="107" w:right="681"/>
            </w:pPr>
            <w:r w:rsidRPr="00140E6E">
              <w:t>C</w:t>
            </w:r>
            <w:r w:rsidR="00140E6E" w:rsidRPr="00140E6E">
              <w:t>4</w:t>
            </w:r>
            <w:r w:rsidRPr="00140E6E">
              <w:t xml:space="preserve">: </w:t>
            </w:r>
            <w:r w:rsidR="00605087">
              <w:t>Justify</w:t>
            </w:r>
            <w:r w:rsidRPr="00140E6E">
              <w:t xml:space="preserve"> the application of </w:t>
            </w:r>
            <w:r w:rsidR="00605087">
              <w:t>sound</w:t>
            </w:r>
            <w:r w:rsidRPr="00140E6E">
              <w:t xml:space="preserve"> principles and policies and make critical judgements by engaging in critical evaluation and reflection;</w:t>
            </w:r>
          </w:p>
          <w:p w:rsidR="004F0813" w:rsidRDefault="00140E6E">
            <w:pPr>
              <w:pStyle w:val="TableParagraph"/>
              <w:spacing w:before="1"/>
              <w:ind w:left="107" w:right="381"/>
            </w:pPr>
            <w:r w:rsidRPr="00140E6E">
              <w:t>C5</w:t>
            </w:r>
            <w:r w:rsidR="00B41D3E" w:rsidRPr="00140E6E">
              <w:t>:</w:t>
            </w:r>
            <w:r w:rsidR="00B41D3E" w:rsidRPr="00140E6E">
              <w:rPr>
                <w:b/>
              </w:rPr>
              <w:t xml:space="preserve"> </w:t>
            </w:r>
            <w:r w:rsidR="00B41D3E">
              <w:t xml:space="preserve">Evaluate and critically </w:t>
            </w:r>
            <w:proofErr w:type="spellStart"/>
            <w:r w:rsidR="00B41D3E">
              <w:t>analyse</w:t>
            </w:r>
            <w:proofErr w:type="spellEnd"/>
            <w:r w:rsidR="00B41D3E">
              <w:t xml:space="preserve"> governance strategies and adapt to a wide range of real-life problems.</w:t>
            </w:r>
          </w:p>
        </w:tc>
      </w:tr>
    </w:tbl>
    <w:p w:rsidR="004F0813" w:rsidRDefault="004F0813">
      <w:pPr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372"/>
      </w:tblGrid>
      <w:tr w:rsidR="004F0813">
        <w:trPr>
          <w:trHeight w:val="1610"/>
        </w:trPr>
        <w:tc>
          <w:tcPr>
            <w:tcW w:w="1980" w:type="dxa"/>
          </w:tcPr>
          <w:p w:rsidR="004F0813" w:rsidRDefault="004F0813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F0813" w:rsidRDefault="00B41D3E">
            <w:pPr>
              <w:pStyle w:val="TableParagraph"/>
              <w:ind w:left="172" w:right="146" w:firstLine="376"/>
              <w:rPr>
                <w:b/>
              </w:rPr>
            </w:pPr>
            <w:r>
              <w:rPr>
                <w:b/>
              </w:rPr>
              <w:t>Practical/ Professional Skills</w:t>
            </w:r>
          </w:p>
        </w:tc>
        <w:tc>
          <w:tcPr>
            <w:tcW w:w="7372" w:type="dxa"/>
          </w:tcPr>
          <w:p w:rsidR="00140E6E" w:rsidRPr="00605087" w:rsidRDefault="00605087" w:rsidP="00140E6E">
            <w:pPr>
              <w:pStyle w:val="TableParagraph"/>
              <w:ind w:left="107" w:right="426"/>
            </w:pPr>
            <w:r w:rsidRPr="00605087">
              <w:t xml:space="preserve">P1: </w:t>
            </w:r>
            <w:r w:rsidR="00140E6E" w:rsidRPr="00605087">
              <w:t>Explain and apply customer due diligence and monitoring procedures</w:t>
            </w:r>
          </w:p>
          <w:p w:rsidR="00140E6E" w:rsidRPr="00605087" w:rsidRDefault="00605087" w:rsidP="00140E6E">
            <w:pPr>
              <w:pStyle w:val="TableParagraph"/>
              <w:ind w:left="107" w:right="426"/>
            </w:pPr>
            <w:r>
              <w:t xml:space="preserve">P2: </w:t>
            </w:r>
            <w:r w:rsidR="00140E6E" w:rsidRPr="00605087">
              <w:t>Assess when and how to report any suspicious activities based on legal obligations to regulators and clients</w:t>
            </w:r>
          </w:p>
          <w:p w:rsidR="004F0813" w:rsidRPr="00605087" w:rsidRDefault="00B41D3E">
            <w:pPr>
              <w:pStyle w:val="TableParagraph"/>
              <w:ind w:left="107" w:right="426"/>
            </w:pPr>
            <w:r w:rsidRPr="00605087">
              <w:t>P</w:t>
            </w:r>
            <w:r w:rsidR="00605087">
              <w:t>3</w:t>
            </w:r>
            <w:r w:rsidRPr="00605087">
              <w:t xml:space="preserve">: Apply </w:t>
            </w:r>
            <w:r w:rsidR="00605087">
              <w:t>financial</w:t>
            </w:r>
            <w:r w:rsidRPr="00605087">
              <w:t xml:space="preserve"> knowledge to conduct effective research and produce a synthesis using established and innovative </w:t>
            </w:r>
            <w:r w:rsidR="00605087">
              <w:t xml:space="preserve">financial </w:t>
            </w:r>
            <w:r w:rsidRPr="00605087">
              <w:t>principles;</w:t>
            </w:r>
          </w:p>
          <w:p w:rsidR="004F0813" w:rsidRPr="00605087" w:rsidRDefault="00B41D3E">
            <w:pPr>
              <w:pStyle w:val="TableParagraph"/>
              <w:ind w:left="107" w:right="222"/>
            </w:pPr>
            <w:r w:rsidRPr="00605087">
              <w:t>P</w:t>
            </w:r>
            <w:r w:rsidR="00605087">
              <w:t>4</w:t>
            </w:r>
            <w:r w:rsidRPr="00605087">
              <w:t>: Demonstrate an ability to apply concepts, principles and policies and make critical judgements;</w:t>
            </w:r>
          </w:p>
          <w:p w:rsidR="004F0813" w:rsidRPr="00605087" w:rsidRDefault="00B41D3E">
            <w:pPr>
              <w:pStyle w:val="TableParagraph"/>
              <w:spacing w:line="267" w:lineRule="exact"/>
              <w:ind w:left="107"/>
            </w:pPr>
            <w:r w:rsidRPr="00605087">
              <w:t>P</w:t>
            </w:r>
            <w:r w:rsidR="00605087">
              <w:t>5</w:t>
            </w:r>
            <w:r w:rsidRPr="00605087">
              <w:t>: Demonstrate a critical approach to research and enquiry leading to</w:t>
            </w:r>
          </w:p>
          <w:p w:rsidR="004F0813" w:rsidRDefault="00B41D3E">
            <w:pPr>
              <w:pStyle w:val="TableParagraph"/>
              <w:spacing w:line="249" w:lineRule="exact"/>
              <w:ind w:left="107"/>
            </w:pPr>
            <w:r w:rsidRPr="00605087">
              <w:t>reasoned choices.</w:t>
            </w:r>
          </w:p>
        </w:tc>
      </w:tr>
      <w:tr w:rsidR="004F0813">
        <w:trPr>
          <w:trHeight w:val="2056"/>
        </w:trPr>
        <w:tc>
          <w:tcPr>
            <w:tcW w:w="1980" w:type="dxa"/>
          </w:tcPr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4F081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F0813" w:rsidRDefault="00B41D3E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Transferable Skills</w:t>
            </w:r>
          </w:p>
        </w:tc>
        <w:tc>
          <w:tcPr>
            <w:tcW w:w="7372" w:type="dxa"/>
          </w:tcPr>
          <w:p w:rsidR="004F0813" w:rsidRDefault="004F081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40E6E" w:rsidRDefault="0016446D">
            <w:pPr>
              <w:pStyle w:val="TableParagraph"/>
              <w:ind w:left="107" w:right="767"/>
              <w:rPr>
                <w:b/>
                <w:color w:val="2D74B5"/>
              </w:rPr>
            </w:pPr>
            <w:r>
              <w:t xml:space="preserve">T1: </w:t>
            </w:r>
            <w:r w:rsidR="00140E6E">
              <w:t>Assess when and how to report any suspicious activities based on legal obligations to regulators and clients</w:t>
            </w:r>
          </w:p>
          <w:p w:rsidR="004F0813" w:rsidRPr="0016446D" w:rsidRDefault="00B41D3E">
            <w:pPr>
              <w:pStyle w:val="TableParagraph"/>
              <w:ind w:left="107" w:right="767"/>
            </w:pPr>
            <w:r w:rsidRPr="0016446D">
              <w:t>T</w:t>
            </w:r>
            <w:r w:rsidR="0016446D">
              <w:t>2</w:t>
            </w:r>
            <w:r w:rsidRPr="0016446D">
              <w:t>: Effectively communicate ideas and arguments in writing and orally; T2: Collaborate with others and contribute effectively to branch out into different areas of</w:t>
            </w:r>
            <w:r w:rsidR="0016446D">
              <w:t xml:space="preserve"> AML/CFT</w:t>
            </w:r>
            <w:r w:rsidRPr="0016446D">
              <w:t>;</w:t>
            </w:r>
          </w:p>
          <w:p w:rsidR="004F0813" w:rsidRPr="0016446D" w:rsidRDefault="00B41D3E">
            <w:pPr>
              <w:pStyle w:val="TableParagraph"/>
              <w:spacing w:before="3" w:line="237" w:lineRule="auto"/>
              <w:ind w:left="107" w:right="867"/>
            </w:pPr>
            <w:r w:rsidRPr="0016446D">
              <w:t>T3: Work independently demonstrating initiative and self-management preparing for professional practice;</w:t>
            </w:r>
          </w:p>
          <w:p w:rsidR="004F0813" w:rsidRDefault="00B41D3E">
            <w:pPr>
              <w:pStyle w:val="TableParagraph"/>
              <w:spacing w:before="1"/>
              <w:ind w:left="107"/>
            </w:pPr>
            <w:r w:rsidRPr="0016446D">
              <w:t xml:space="preserve">T4: Adapting </w:t>
            </w:r>
            <w:r>
              <w:t>different technological tools for learning and teaching.</w:t>
            </w:r>
          </w:p>
        </w:tc>
      </w:tr>
    </w:tbl>
    <w:p w:rsidR="004F0813" w:rsidRDefault="002E47D4">
      <w:pPr>
        <w:spacing w:before="2" w:after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57152" behindDoc="1" locked="0" layoutInCell="1" allowOverlap="1">
                <wp:simplePos x="0" y="0"/>
                <wp:positionH relativeFrom="page">
                  <wp:posOffset>4667250</wp:posOffset>
                </wp:positionH>
                <wp:positionV relativeFrom="page">
                  <wp:posOffset>2014855</wp:posOffset>
                </wp:positionV>
                <wp:extent cx="36830" cy="17081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7081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B258" id="Rectangle 3" o:spid="_x0000_s1026" style="position:absolute;margin-left:367.5pt;margin-top:158.65pt;width:2.9pt;height:13.45pt;z-index:-170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" fillcolor="#f8f8f8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4F0813">
        <w:trPr>
          <w:trHeight w:val="537"/>
        </w:trPr>
        <w:tc>
          <w:tcPr>
            <w:tcW w:w="9352" w:type="dxa"/>
            <w:shd w:val="clear" w:color="auto" w:fill="9CC2E4"/>
          </w:tcPr>
          <w:p w:rsidR="004F0813" w:rsidRDefault="00B41D3E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4. PROFESSIONAL, STATUTORY AND REGULATORY BODIES</w:t>
            </w:r>
          </w:p>
          <w:p w:rsidR="004F0813" w:rsidRDefault="00B41D3E">
            <w:pPr>
              <w:pStyle w:val="TableParagraph"/>
              <w:spacing w:before="1" w:line="249" w:lineRule="exact"/>
              <w:ind w:left="827"/>
              <w:rPr>
                <w:b/>
              </w:rPr>
            </w:pPr>
            <w:r>
              <w:rPr>
                <w:b/>
              </w:rPr>
              <w:t>(where applicable)</w:t>
            </w:r>
          </w:p>
        </w:tc>
      </w:tr>
      <w:tr w:rsidR="004F0813">
        <w:trPr>
          <w:trHeight w:val="465"/>
        </w:trPr>
        <w:tc>
          <w:tcPr>
            <w:tcW w:w="9352" w:type="dxa"/>
          </w:tcPr>
          <w:p w:rsidR="004F0813" w:rsidRDefault="0016446D" w:rsidP="0016446D">
            <w:pPr>
              <w:pStyle w:val="TableParagraph"/>
              <w:spacing w:before="97"/>
            </w:pPr>
            <w:r>
              <w:t xml:space="preserve"> </w:t>
            </w:r>
            <w:r w:rsidR="0063602F">
              <w:t>T</w:t>
            </w:r>
            <w:r w:rsidR="0063602F" w:rsidRPr="0063602F">
              <w:t>he Financial Services Commission</w:t>
            </w:r>
            <w:r w:rsidR="0063602F">
              <w:t xml:space="preserve"> (FSC)</w:t>
            </w:r>
            <w:r w:rsidR="0063602F" w:rsidRPr="0063602F">
              <w:t xml:space="preserve"> </w:t>
            </w:r>
            <w:r w:rsidR="0063602F">
              <w:t>may</w:t>
            </w:r>
            <w:r w:rsidR="0063602F" w:rsidRPr="0063602F">
              <w:t>, in their Competency Standards, include the GDFC as a minimum requirement to be appointed as an MLRO/CO (along with experience)</w:t>
            </w:r>
          </w:p>
        </w:tc>
      </w:tr>
    </w:tbl>
    <w:p w:rsidR="004F0813" w:rsidRDefault="004F0813">
      <w:pPr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4F0813">
        <w:trPr>
          <w:trHeight w:val="268"/>
        </w:trPr>
        <w:tc>
          <w:tcPr>
            <w:tcW w:w="9496" w:type="dxa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5. LEARNING AND TEACHING STRATEGY</w:t>
            </w:r>
          </w:p>
        </w:tc>
      </w:tr>
      <w:tr w:rsidR="004F0813">
        <w:trPr>
          <w:trHeight w:val="311"/>
        </w:trPr>
        <w:tc>
          <w:tcPr>
            <w:tcW w:w="9496" w:type="dxa"/>
            <w:shd w:val="clear" w:color="auto" w:fill="FFF1CC"/>
          </w:tcPr>
          <w:p w:rsidR="004F0813" w:rsidRDefault="00B41D3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Learning and teaching methods</w:t>
            </w:r>
          </w:p>
        </w:tc>
      </w:tr>
      <w:tr w:rsidR="004F0813">
        <w:trPr>
          <w:trHeight w:val="7519"/>
        </w:trPr>
        <w:tc>
          <w:tcPr>
            <w:tcW w:w="9496" w:type="dxa"/>
          </w:tcPr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 w:right="98"/>
              <w:jc w:val="both"/>
            </w:pPr>
            <w:r>
              <w:t xml:space="preserve">Learners will be provided with opportunities to engage in a diverse range of learning environments to </w:t>
            </w:r>
            <w:proofErr w:type="spellStart"/>
            <w:r>
              <w:t>maximise</w:t>
            </w:r>
            <w:proofErr w:type="spellEnd"/>
            <w:r>
              <w:t xml:space="preserve"> their learning. For this </w:t>
            </w:r>
            <w:proofErr w:type="spellStart"/>
            <w:r>
              <w:t>programme</w:t>
            </w:r>
            <w:proofErr w:type="spellEnd"/>
            <w:r>
              <w:t>, students will interact with their tutor and their fellow students mostly through the e-platform.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The e-platform will use the following tools: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97"/>
              <w:jc w:val="both"/>
            </w:pPr>
            <w:r>
              <w:rPr>
                <w:b/>
                <w:color w:val="2D74B5"/>
              </w:rPr>
              <w:t xml:space="preserve">Online activities: </w:t>
            </w:r>
            <w:r>
              <w:t xml:space="preserve">For every unit covered in each module students will be given opportunities </w:t>
            </w:r>
            <w:r>
              <w:rPr>
                <w:spacing w:val="-3"/>
              </w:rPr>
              <w:t xml:space="preserve">to </w:t>
            </w:r>
            <w:r>
              <w:t xml:space="preserve">complete interactive learning activities including discussion forums, quizzes, webinars and problem-solving activities. Students will be encouraged to work independently but also </w:t>
            </w:r>
            <w:r>
              <w:rPr>
                <w:spacing w:val="-3"/>
              </w:rPr>
              <w:t xml:space="preserve">to </w:t>
            </w:r>
            <w:r>
              <w:t>engage in collaborative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right="95"/>
              <w:jc w:val="both"/>
            </w:pPr>
            <w:r>
              <w:rPr>
                <w:b/>
                <w:color w:val="2D74B5"/>
              </w:rPr>
              <w:t xml:space="preserve">Independent study: </w:t>
            </w:r>
            <w:r>
              <w:t>Independent study forms an essential part of the development of your knowledge and understanding. We will guide you, via the e-platform, on the reading and reflection of primary and secondary texts. Students should use this independent study time to link knowledge with e-class and face-to-face activities and develop their understanding and critical perspective on the topics they are</w:t>
            </w:r>
            <w:r>
              <w:rPr>
                <w:spacing w:val="-4"/>
              </w:rPr>
              <w:t xml:space="preserve"> </w:t>
            </w:r>
            <w:r>
              <w:t>studying.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spacing w:before="1"/>
              <w:ind w:left="107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face-to-face</w:t>
            </w:r>
            <w:r w:rsidR="0016446D">
              <w:t>/online</w:t>
            </w:r>
            <w:r>
              <w:rPr>
                <w:spacing w:val="-8"/>
              </w:rPr>
              <w:t xml:space="preserve"> </w:t>
            </w:r>
            <w:r>
              <w:t>sessions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opportunity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untangle</w:t>
            </w:r>
            <w:r>
              <w:rPr>
                <w:spacing w:val="-7"/>
              </w:rPr>
              <w:t xml:space="preserve"> </w:t>
            </w:r>
            <w:r>
              <w:t>complex</w:t>
            </w:r>
            <w:r>
              <w:rPr>
                <w:spacing w:val="-9"/>
              </w:rPr>
              <w:t xml:space="preserve"> </w:t>
            </w:r>
            <w:r>
              <w:t>concepts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provide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an opportunity to apply the knowledge acquired in the preceding</w:t>
            </w:r>
            <w:r>
              <w:rPr>
                <w:spacing w:val="-11"/>
              </w:rPr>
              <w:t xml:space="preserve"> </w:t>
            </w:r>
            <w:r>
              <w:t>weeks.</w:t>
            </w:r>
          </w:p>
          <w:p w:rsidR="004F0813" w:rsidRDefault="004F081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</w:pPr>
            <w:r>
              <w:t xml:space="preserve">During the </w:t>
            </w:r>
            <w:r>
              <w:rPr>
                <w:b/>
                <w:color w:val="2D74B5"/>
              </w:rPr>
              <w:t>face-to-face</w:t>
            </w:r>
            <w:r w:rsidR="0016446D">
              <w:rPr>
                <w:b/>
                <w:color w:val="2D74B5"/>
              </w:rPr>
              <w:t>/online</w:t>
            </w:r>
            <w:r>
              <w:rPr>
                <w:b/>
                <w:color w:val="2D74B5"/>
              </w:rPr>
              <w:t xml:space="preserve"> sessions</w:t>
            </w:r>
            <w:r>
              <w:t>, students can be expected to:</w:t>
            </w:r>
          </w:p>
          <w:p w:rsidR="004F0813" w:rsidRDefault="00B41D3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hanging="361"/>
            </w:pPr>
            <w:r>
              <w:t>Extensively use IT</w:t>
            </w:r>
            <w:r>
              <w:rPr>
                <w:spacing w:val="-2"/>
              </w:rPr>
              <w:t xml:space="preserve"> </w:t>
            </w:r>
            <w:r>
              <w:t>tools;</w:t>
            </w:r>
          </w:p>
          <w:p w:rsidR="004F0813" w:rsidRDefault="00B41D3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Engage in problem-solving</w:t>
            </w:r>
            <w:r>
              <w:rPr>
                <w:spacing w:val="-5"/>
              </w:rPr>
              <w:t xml:space="preserve"> </w:t>
            </w:r>
            <w:r>
              <w:t>activities;</w:t>
            </w:r>
          </w:p>
          <w:p w:rsidR="004F0813" w:rsidRDefault="00B41D3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hanging="361"/>
            </w:pPr>
            <w:r>
              <w:t>Engage with reading material to engage in class</w:t>
            </w:r>
            <w:r>
              <w:rPr>
                <w:spacing w:val="-5"/>
              </w:rPr>
              <w:t xml:space="preserve"> </w:t>
            </w:r>
            <w:r>
              <w:t>discussions;</w:t>
            </w:r>
          </w:p>
          <w:p w:rsidR="004F0813" w:rsidRDefault="00B41D3E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49" w:lineRule="exact"/>
              <w:ind w:hanging="361"/>
            </w:pPr>
            <w:r>
              <w:t>Review core/complex concepts through applied</w:t>
            </w:r>
            <w:r>
              <w:rPr>
                <w:spacing w:val="-6"/>
              </w:rPr>
              <w:t xml:space="preserve"> </w:t>
            </w:r>
            <w:r>
              <w:t>work.</w:t>
            </w:r>
          </w:p>
        </w:tc>
      </w:tr>
    </w:tbl>
    <w:p w:rsidR="004F0813" w:rsidRDefault="004F0813">
      <w:pPr>
        <w:spacing w:line="249" w:lineRule="exact"/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4F0813" w:rsidTr="0016446D">
        <w:trPr>
          <w:trHeight w:val="132"/>
        </w:trPr>
        <w:tc>
          <w:tcPr>
            <w:tcW w:w="9496" w:type="dxa"/>
          </w:tcPr>
          <w:p w:rsidR="004F0813" w:rsidRDefault="004F0813" w:rsidP="0016446D">
            <w:pPr>
              <w:pStyle w:val="TableParagraph"/>
              <w:ind w:right="337"/>
            </w:pPr>
          </w:p>
        </w:tc>
      </w:tr>
      <w:tr w:rsidR="004F0813">
        <w:trPr>
          <w:trHeight w:val="268"/>
        </w:trPr>
        <w:tc>
          <w:tcPr>
            <w:tcW w:w="9496" w:type="dxa"/>
            <w:shd w:val="clear" w:color="auto" w:fill="FFF1CC"/>
          </w:tcPr>
          <w:p w:rsidR="004F0813" w:rsidRDefault="00B41D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Overall Workload</w:t>
            </w:r>
          </w:p>
        </w:tc>
      </w:tr>
      <w:tr w:rsidR="004F0813">
        <w:trPr>
          <w:trHeight w:val="5105"/>
        </w:trPr>
        <w:tc>
          <w:tcPr>
            <w:tcW w:w="9496" w:type="dxa"/>
          </w:tcPr>
          <w:p w:rsidR="004F0813" w:rsidRDefault="00B41D3E">
            <w:pPr>
              <w:pStyle w:val="TableParagraph"/>
              <w:ind w:left="107" w:right="94"/>
              <w:jc w:val="both"/>
            </w:pPr>
            <w:r>
              <w:t>The overall workload for the learner will consist of independent learning</w:t>
            </w:r>
            <w:r w:rsidR="0016446D">
              <w:t xml:space="preserve"> and</w:t>
            </w:r>
            <w:r>
              <w:t xml:space="preserve"> e-learning activities</w:t>
            </w:r>
            <w:r w:rsidR="0016446D">
              <w:t xml:space="preserve">. </w:t>
            </w:r>
            <w:r>
              <w:t xml:space="preserve">The following gives you an indication of how much time you will need to spend on the different components of your </w:t>
            </w:r>
            <w:proofErr w:type="spellStart"/>
            <w:r>
              <w:t>programme</w:t>
            </w:r>
            <w:proofErr w:type="spellEnd"/>
            <w:r>
              <w:t xml:space="preserve"> at each level. Each ECTS credit taken equates to 25-30 hours of study time.</w:t>
            </w: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B41D3E">
            <w:pPr>
              <w:pStyle w:val="TableParagraph"/>
              <w:ind w:left="107"/>
              <w:jc w:val="both"/>
            </w:pPr>
            <w:r>
              <w:t xml:space="preserve">The expected study time for this </w:t>
            </w:r>
            <w:proofErr w:type="spellStart"/>
            <w:r>
              <w:t>programme</w:t>
            </w:r>
            <w:proofErr w:type="spellEnd"/>
            <w:r>
              <w:t xml:space="preserve"> will be as follow: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color w:val="2D74B5"/>
              </w:rPr>
              <w:t xml:space="preserve">Year 1 Semester 1: </w:t>
            </w:r>
            <w:r>
              <w:rPr>
                <w:b/>
              </w:rPr>
              <w:t>1,500 hours for</w:t>
            </w:r>
            <w:r w:rsidR="00147F01">
              <w:rPr>
                <w:b/>
              </w:rPr>
              <w:t xml:space="preserve"> </w:t>
            </w:r>
            <w:r w:rsidR="008F0974">
              <w:rPr>
                <w:b/>
              </w:rPr>
              <w:t>60</w:t>
            </w:r>
            <w:r>
              <w:rPr>
                <w:b/>
              </w:rPr>
              <w:t xml:space="preserve"> ECTS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credits.</w:t>
            </w:r>
          </w:p>
          <w:p w:rsidR="004F0813" w:rsidRDefault="00B41D3E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color w:val="2D74B5"/>
              </w:rPr>
              <w:t xml:space="preserve">Year 1 Semester 2: </w:t>
            </w:r>
            <w:r>
              <w:rPr>
                <w:b/>
              </w:rPr>
              <w:t xml:space="preserve">1,500 hours for </w:t>
            </w:r>
            <w:r w:rsidR="008F0974">
              <w:rPr>
                <w:b/>
              </w:rPr>
              <w:t>60</w:t>
            </w:r>
            <w:r>
              <w:rPr>
                <w:b/>
              </w:rPr>
              <w:t xml:space="preserve"> ECTS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credits.</w:t>
            </w: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B41D3E">
            <w:pPr>
              <w:pStyle w:val="TableParagraph"/>
              <w:spacing w:before="1"/>
              <w:ind w:left="107" w:right="97"/>
              <w:jc w:val="both"/>
            </w:pPr>
            <w:r>
              <w:t>Typically,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study,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spend</w:t>
            </w:r>
            <w:r>
              <w:rPr>
                <w:spacing w:val="-5"/>
              </w:rPr>
              <w:t xml:space="preserve"> </w:t>
            </w:r>
            <w:r>
              <w:t>0-10%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face-to-face</w:t>
            </w:r>
            <w:r>
              <w:rPr>
                <w:spacing w:val="-3"/>
              </w:rPr>
              <w:t xml:space="preserve"> </w:t>
            </w:r>
            <w:r>
              <w:t>sessions,</w:t>
            </w:r>
            <w:r>
              <w:rPr>
                <w:spacing w:val="-5"/>
              </w:rPr>
              <w:t xml:space="preserve"> </w:t>
            </w:r>
            <w:r>
              <w:t>30-40% of your time engaging with e-learning activities and 60% of your time in independent study</w:t>
            </w:r>
            <w:r>
              <w:rPr>
                <w:spacing w:val="-18"/>
              </w:rPr>
              <w:t xml:space="preserve"> </w:t>
            </w:r>
            <w:r>
              <w:t>time.</w:t>
            </w:r>
          </w:p>
          <w:p w:rsidR="004F0813" w:rsidRDefault="004F0813">
            <w:pPr>
              <w:pStyle w:val="TableParagraph"/>
              <w:rPr>
                <w:b/>
              </w:rPr>
            </w:pPr>
          </w:p>
          <w:p w:rsidR="004F0813" w:rsidRDefault="00B41D3E">
            <w:pPr>
              <w:pStyle w:val="TableParagraph"/>
              <w:ind w:left="107" w:right="95"/>
              <w:jc w:val="both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typical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week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 w:rsidR="0027761C">
              <w:t>learner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involve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5"/>
              </w:rPr>
              <w:t xml:space="preserve"> </w:t>
            </w:r>
            <w:r>
              <w:t>face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face</w:t>
            </w:r>
            <w:r w:rsidR="00260A44">
              <w:t>/online</w:t>
            </w:r>
            <w:r>
              <w:rPr>
                <w:spacing w:val="-6"/>
              </w:rPr>
              <w:t xml:space="preserve"> </w:t>
            </w:r>
            <w:r>
              <w:t>sessions,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 xml:space="preserve">engagement in an online discussion forum, the completion of online activities and independent study time to review attached readings, textbooks and relevant sections of the module documentation. </w:t>
            </w:r>
            <w:r w:rsidR="0027761C">
              <w:t>Learner</w:t>
            </w:r>
            <w:r>
              <w:t>s should expect to devote 8 to 12 hours of study time per week per</w:t>
            </w:r>
            <w:r>
              <w:rPr>
                <w:spacing w:val="-11"/>
              </w:rPr>
              <w:t xml:space="preserve"> </w:t>
            </w:r>
            <w:r>
              <w:t>module.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spacing w:line="252" w:lineRule="exact"/>
              <w:ind w:left="107"/>
            </w:pPr>
            <w:r>
              <w:t>These are indicative and may vary.</w:t>
            </w:r>
          </w:p>
        </w:tc>
      </w:tr>
    </w:tbl>
    <w:p w:rsidR="004F0813" w:rsidRDefault="004F0813">
      <w:pPr>
        <w:rPr>
          <w:b/>
          <w:sz w:val="20"/>
        </w:rPr>
      </w:pPr>
    </w:p>
    <w:p w:rsidR="004F0813" w:rsidRDefault="004F0813">
      <w:pPr>
        <w:spacing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</w:tblGrid>
      <w:tr w:rsidR="004F0813">
        <w:trPr>
          <w:trHeight w:val="268"/>
        </w:trPr>
        <w:tc>
          <w:tcPr>
            <w:tcW w:w="9441" w:type="dxa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6. ASSESSMENT STRATEGY</w:t>
            </w:r>
          </w:p>
        </w:tc>
      </w:tr>
      <w:tr w:rsidR="004F0813">
        <w:trPr>
          <w:trHeight w:val="270"/>
        </w:trPr>
        <w:tc>
          <w:tcPr>
            <w:tcW w:w="9441" w:type="dxa"/>
            <w:shd w:val="clear" w:color="auto" w:fill="FFF1CC"/>
          </w:tcPr>
          <w:p w:rsidR="004F0813" w:rsidRDefault="00B41D3E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Assessment Methods</w:t>
            </w:r>
          </w:p>
        </w:tc>
      </w:tr>
      <w:tr w:rsidR="004F0813">
        <w:trPr>
          <w:trHeight w:val="3266"/>
        </w:trPr>
        <w:tc>
          <w:tcPr>
            <w:tcW w:w="9441" w:type="dxa"/>
          </w:tcPr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spacing w:line="237" w:lineRule="auto"/>
              <w:ind w:left="107"/>
            </w:pPr>
            <w:r>
              <w:t>A range of formative and summative assessment exercises are designed to enable the demonstration and application of knowledge and understanding.</w:t>
            </w:r>
          </w:p>
          <w:p w:rsidR="004F0813" w:rsidRDefault="004F0813">
            <w:pPr>
              <w:pStyle w:val="TableParagraph"/>
              <w:spacing w:before="2"/>
              <w:rPr>
                <w:b/>
              </w:rPr>
            </w:pPr>
          </w:p>
          <w:p w:rsidR="004F0813" w:rsidRDefault="00B41D3E">
            <w:pPr>
              <w:pStyle w:val="TableParagraph"/>
              <w:ind w:left="107"/>
            </w:pPr>
            <w:r>
              <w:t>Some modules will consist of a Tutor-Marked Assessment component and an examination. TMAs include:</w:t>
            </w:r>
          </w:p>
          <w:p w:rsidR="004F0813" w:rsidRDefault="00B41D3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t>Tests/presentation</w:t>
            </w:r>
          </w:p>
          <w:p w:rsidR="004F0813" w:rsidRDefault="00B41D3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4F0813" w:rsidRDefault="00B41D3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</w:pPr>
            <w:r>
              <w:t>Exercises and problems</w:t>
            </w:r>
            <w:r>
              <w:rPr>
                <w:spacing w:val="-1"/>
              </w:rPr>
              <w:t xml:space="preserve"> </w:t>
            </w:r>
            <w:r>
              <w:t>set</w:t>
            </w:r>
          </w:p>
          <w:p w:rsidR="004F0813" w:rsidRDefault="00B41D3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Coursework</w:t>
            </w:r>
          </w:p>
          <w:p w:rsidR="004F0813" w:rsidRDefault="00B41D3E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hanging="361"/>
            </w:pPr>
            <w:r>
              <w:t>Exams</w:t>
            </w:r>
          </w:p>
        </w:tc>
      </w:tr>
      <w:tr w:rsidR="004F0813">
        <w:trPr>
          <w:trHeight w:val="268"/>
        </w:trPr>
        <w:tc>
          <w:tcPr>
            <w:tcW w:w="9441" w:type="dxa"/>
            <w:shd w:val="clear" w:color="auto" w:fill="FFF1CC"/>
          </w:tcPr>
          <w:p w:rsidR="004F0813" w:rsidRDefault="00B41D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Academic Feedback</w:t>
            </w:r>
          </w:p>
        </w:tc>
      </w:tr>
      <w:tr w:rsidR="004F0813">
        <w:trPr>
          <w:trHeight w:val="1341"/>
        </w:trPr>
        <w:tc>
          <w:tcPr>
            <w:tcW w:w="9441" w:type="dxa"/>
          </w:tcPr>
          <w:p w:rsidR="004F0813" w:rsidRDefault="00B41D3E">
            <w:pPr>
              <w:pStyle w:val="TableParagraph"/>
              <w:ind w:left="107"/>
            </w:pPr>
            <w:r>
              <w:t>Throughout</w:t>
            </w:r>
            <w:r>
              <w:rPr>
                <w:spacing w:val="-13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studies,</w:t>
            </w:r>
            <w:r>
              <w:rPr>
                <w:spacing w:val="-10"/>
              </w:rPr>
              <w:t xml:space="preserve"> </w:t>
            </w:r>
            <w:r>
              <w:t>tutors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provide</w:t>
            </w:r>
            <w:r>
              <w:rPr>
                <w:spacing w:val="-11"/>
              </w:rPr>
              <w:t xml:space="preserve"> </w:t>
            </w:r>
            <w:r>
              <w:t>informal</w:t>
            </w:r>
            <w:r>
              <w:rPr>
                <w:spacing w:val="-11"/>
              </w:rPr>
              <w:t xml:space="preserve"> </w:t>
            </w:r>
            <w:r>
              <w:t>feedback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your</w:t>
            </w:r>
            <w:r>
              <w:rPr>
                <w:spacing w:val="-10"/>
              </w:rPr>
              <w:t xml:space="preserve"> </w:t>
            </w:r>
            <w:r>
              <w:t>coursework,</w:t>
            </w:r>
            <w:r>
              <w:rPr>
                <w:spacing w:val="-10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activities</w:t>
            </w:r>
            <w:r>
              <w:rPr>
                <w:spacing w:val="-10"/>
              </w:rPr>
              <w:t xml:space="preserve"> </w:t>
            </w:r>
            <w:r>
              <w:t>and class contributions. Feedback may be individual or provided to the class as a</w:t>
            </w:r>
            <w:r>
              <w:rPr>
                <w:spacing w:val="-14"/>
              </w:rPr>
              <w:t xml:space="preserve"> </w:t>
            </w:r>
            <w:r>
              <w:t>whole.</w:t>
            </w:r>
          </w:p>
          <w:p w:rsidR="004F0813" w:rsidRDefault="004F081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spacing w:line="270" w:lineRule="atLeast"/>
              <w:ind w:left="107"/>
            </w:pPr>
            <w:r>
              <w:t>Each summative assessment will be accompanied by detailed marking criteria and a marking scheme detailing the expectation of the assessment at each grade classification level.</w:t>
            </w:r>
          </w:p>
        </w:tc>
      </w:tr>
    </w:tbl>
    <w:p w:rsidR="004F0813" w:rsidRDefault="004F0813">
      <w:pPr>
        <w:spacing w:line="270" w:lineRule="atLeast"/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1"/>
      </w:tblGrid>
      <w:tr w:rsidR="004F0813">
        <w:trPr>
          <w:trHeight w:val="2416"/>
        </w:trPr>
        <w:tc>
          <w:tcPr>
            <w:tcW w:w="9441" w:type="dxa"/>
          </w:tcPr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 w:right="89"/>
            </w:pPr>
            <w:r>
              <w:t>Feedback on assessment will be provided along with the marking criteria. Marking criteria will be made available to the student at the same time as the coursework/assessment details.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</w:pPr>
            <w:r>
              <w:t>Students will receive written individual feedback on all TMA components.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ind w:left="107"/>
            </w:pPr>
            <w:r>
              <w:t>The</w:t>
            </w:r>
            <w:r>
              <w:rPr>
                <w:spacing w:val="-13"/>
              </w:rPr>
              <w:t xml:space="preserve"> </w:t>
            </w:r>
            <w:r>
              <w:t>university</w:t>
            </w:r>
            <w:r>
              <w:rPr>
                <w:spacing w:val="-13"/>
              </w:rPr>
              <w:t xml:space="preserve"> </w:t>
            </w:r>
            <w:r>
              <w:t>policy</w:t>
            </w:r>
            <w:r>
              <w:rPr>
                <w:spacing w:val="-14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assessment</w:t>
            </w:r>
            <w:r>
              <w:rPr>
                <w:spacing w:val="-12"/>
              </w:rPr>
              <w:t xml:space="preserve"> </w:t>
            </w:r>
            <w:r>
              <w:t>feedback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guidance</w:t>
            </w:r>
            <w:r>
              <w:rPr>
                <w:spacing w:val="-15"/>
              </w:rPr>
              <w:t xml:space="preserve"> </w:t>
            </w:r>
            <w:r>
              <w:t>on</w:t>
            </w:r>
            <w:r>
              <w:rPr>
                <w:spacing w:val="-13"/>
              </w:rPr>
              <w:t xml:space="preserve"> </w:t>
            </w:r>
            <w:r>
              <w:t>provisional</w:t>
            </w:r>
            <w:r>
              <w:rPr>
                <w:spacing w:val="-16"/>
              </w:rPr>
              <w:t xml:space="preserve"> </w:t>
            </w:r>
            <w:r>
              <w:t>marks</w:t>
            </w:r>
            <w:r>
              <w:rPr>
                <w:spacing w:val="-14"/>
              </w:rPr>
              <w:t xml:space="preserve"> </w:t>
            </w:r>
            <w:r>
              <w:t>can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found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General Rules.</w:t>
            </w:r>
          </w:p>
        </w:tc>
      </w:tr>
      <w:tr w:rsidR="004F0813">
        <w:trPr>
          <w:trHeight w:val="268"/>
        </w:trPr>
        <w:tc>
          <w:tcPr>
            <w:tcW w:w="9441" w:type="dxa"/>
            <w:shd w:val="clear" w:color="auto" w:fill="FFF1CC"/>
          </w:tcPr>
          <w:p w:rsidR="004F0813" w:rsidRDefault="00B41D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Late submission, Extension and Re-sit Policy</w:t>
            </w:r>
          </w:p>
        </w:tc>
      </w:tr>
      <w:tr w:rsidR="004F0813">
        <w:trPr>
          <w:trHeight w:val="695"/>
        </w:trPr>
        <w:tc>
          <w:tcPr>
            <w:tcW w:w="9441" w:type="dxa"/>
          </w:tcPr>
          <w:p w:rsidR="004F0813" w:rsidRDefault="004F081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F0813" w:rsidRDefault="00B41D3E">
            <w:pPr>
              <w:pStyle w:val="TableParagraph"/>
              <w:ind w:left="107"/>
            </w:pPr>
            <w:r>
              <w:t>The university policy on late submission, Extension and re-sits can be found in the General Rules.</w:t>
            </w:r>
          </w:p>
        </w:tc>
      </w:tr>
      <w:tr w:rsidR="004F0813">
        <w:trPr>
          <w:trHeight w:val="268"/>
        </w:trPr>
        <w:tc>
          <w:tcPr>
            <w:tcW w:w="9441" w:type="dxa"/>
            <w:shd w:val="clear" w:color="auto" w:fill="FFF1CC"/>
          </w:tcPr>
          <w:p w:rsidR="004F0813" w:rsidRDefault="00B41D3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Special Circumstances</w:t>
            </w:r>
          </w:p>
        </w:tc>
      </w:tr>
      <w:tr w:rsidR="004F0813">
        <w:trPr>
          <w:trHeight w:val="553"/>
        </w:trPr>
        <w:tc>
          <w:tcPr>
            <w:tcW w:w="9441" w:type="dxa"/>
          </w:tcPr>
          <w:p w:rsidR="004F0813" w:rsidRDefault="00B41D3E">
            <w:pPr>
              <w:pStyle w:val="TableParagraph"/>
              <w:spacing w:before="140"/>
              <w:ind w:left="107"/>
            </w:pPr>
            <w:r>
              <w:t>The university policy on special circumstances can be found in the General Rules.</w:t>
            </w:r>
          </w:p>
        </w:tc>
      </w:tr>
      <w:tr w:rsidR="004F0813">
        <w:trPr>
          <w:trHeight w:val="269"/>
        </w:trPr>
        <w:tc>
          <w:tcPr>
            <w:tcW w:w="9441" w:type="dxa"/>
            <w:shd w:val="clear" w:color="auto" w:fill="FFF1CC"/>
          </w:tcPr>
          <w:p w:rsidR="004F0813" w:rsidRDefault="00B41D3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Continuous assessment and Exam Regulations</w:t>
            </w:r>
          </w:p>
        </w:tc>
      </w:tr>
      <w:tr w:rsidR="004F0813">
        <w:trPr>
          <w:trHeight w:val="990"/>
        </w:trPr>
        <w:tc>
          <w:tcPr>
            <w:tcW w:w="9441" w:type="dxa"/>
          </w:tcPr>
          <w:p w:rsidR="004F0813" w:rsidRDefault="004F0813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F0813" w:rsidRDefault="00B41D3E">
            <w:pPr>
              <w:pStyle w:val="TableParagraph"/>
              <w:ind w:left="107" w:right="493"/>
            </w:pPr>
            <w:r>
              <w:t>The university regulations on continuous assessment and examination can be found in the General Rules.</w:t>
            </w:r>
          </w:p>
        </w:tc>
      </w:tr>
    </w:tbl>
    <w:p w:rsidR="004F0813" w:rsidRDefault="004F0813">
      <w:pPr>
        <w:rPr>
          <w:b/>
          <w:sz w:val="20"/>
        </w:rPr>
      </w:pPr>
    </w:p>
    <w:p w:rsidR="004F0813" w:rsidRDefault="004F0813">
      <w:pPr>
        <w:spacing w:before="2" w:after="1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4F0813">
        <w:trPr>
          <w:trHeight w:val="268"/>
        </w:trPr>
        <w:tc>
          <w:tcPr>
            <w:tcW w:w="9496" w:type="dxa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7. ACADEMIC MISCONDUCT</w:t>
            </w:r>
          </w:p>
        </w:tc>
      </w:tr>
      <w:tr w:rsidR="004F0813">
        <w:trPr>
          <w:trHeight w:val="4382"/>
        </w:trPr>
        <w:tc>
          <w:tcPr>
            <w:tcW w:w="9496" w:type="dxa"/>
          </w:tcPr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As a safeguard to the quality and standard of Open University’s qualifications and awards, the university takes</w:t>
            </w:r>
          </w:p>
          <w:p w:rsidR="004F0813" w:rsidRDefault="00B41D3E">
            <w:pPr>
              <w:pStyle w:val="TableParagraph"/>
              <w:spacing w:before="1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any incidence of academic misconduct seriously and will investigate any reported case.</w:t>
            </w:r>
          </w:p>
          <w:p w:rsidR="004F0813" w:rsidRDefault="004F081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F0813" w:rsidRDefault="00B41D3E">
            <w:pPr>
              <w:pStyle w:val="TableParagraph"/>
              <w:spacing w:before="1"/>
              <w:ind w:left="107" w:right="94"/>
              <w:jc w:val="both"/>
              <w:rPr>
                <w:sz w:val="21"/>
              </w:rPr>
            </w:pPr>
            <w:r>
              <w:rPr>
                <w:sz w:val="21"/>
              </w:rPr>
              <w:t>Academic Misconduct refers to any activity where a student, through unpermitted means, seeks to gain an advantage in the completion of an assessment. Any unpermitted action will be considered as academic misconduct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occurring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formal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examination,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TMA,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form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considered by the Board of Examiners and undertaken in pursuit of a University qualification 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award.</w:t>
            </w:r>
          </w:p>
          <w:p w:rsidR="004F0813" w:rsidRDefault="004F081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 w:right="97"/>
              <w:jc w:val="both"/>
              <w:rPr>
                <w:sz w:val="21"/>
              </w:rPr>
            </w:pPr>
            <w:r>
              <w:rPr>
                <w:b/>
                <w:sz w:val="21"/>
              </w:rPr>
              <w:t xml:space="preserve">Plagiarism </w:t>
            </w:r>
            <w:r>
              <w:rPr>
                <w:i/>
                <w:sz w:val="21"/>
              </w:rPr>
              <w:t>(using, intentionally or unintentionally another person</w:t>
            </w:r>
            <w:r w:rsidR="002D6E52">
              <w:rPr>
                <w:i/>
                <w:sz w:val="21"/>
              </w:rPr>
              <w:t>’s</w:t>
            </w:r>
            <w:r>
              <w:rPr>
                <w:i/>
                <w:sz w:val="21"/>
              </w:rPr>
              <w:t xml:space="preserve"> work and presenting it as </w:t>
            </w:r>
            <w:r w:rsidR="00D365E4">
              <w:rPr>
                <w:i/>
                <w:sz w:val="21"/>
              </w:rPr>
              <w:t xml:space="preserve">one’s </w:t>
            </w:r>
            <w:r>
              <w:rPr>
                <w:i/>
                <w:sz w:val="21"/>
              </w:rPr>
              <w:t xml:space="preserve">own) </w:t>
            </w:r>
            <w:r>
              <w:rPr>
                <w:sz w:val="21"/>
              </w:rPr>
              <w:t>will be systematically checked through plagiarism detection software.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0813" w:rsidRPr="00D365E4" w:rsidRDefault="00B41D3E">
            <w:pPr>
              <w:pStyle w:val="TableParagraph"/>
              <w:ind w:left="107" w:right="106"/>
              <w:jc w:val="both"/>
              <w:rPr>
                <w:b/>
                <w:sz w:val="21"/>
              </w:rPr>
            </w:pPr>
            <w:r w:rsidRPr="00D365E4">
              <w:rPr>
                <w:b/>
                <w:sz w:val="21"/>
              </w:rPr>
              <w:t>Any suspected cases of academic misconduct will be reported and investigated. Academic misconduct offences may lead to suspension or expulsion from the University.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F0813" w:rsidRDefault="00B41D3E">
            <w:pPr>
              <w:pStyle w:val="TableParagraph"/>
              <w:spacing w:before="1"/>
              <w:ind w:left="10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The university regulations on Academic Misconduct can be found in the General Rules.</w:t>
            </w:r>
          </w:p>
        </w:tc>
      </w:tr>
    </w:tbl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2E47D4">
      <w:pPr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156845</wp:posOffset>
                </wp:positionV>
                <wp:extent cx="603885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0C19" id="Rectangle 2" o:spid="_x0000_s1026" style="position:absolute;margin-left:71.55pt;margin-top:12.35pt;width:475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5QidA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F0813" w:rsidRDefault="004F0813">
      <w:pPr>
        <w:rPr>
          <w:sz w:val="17"/>
        </w:rPr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9009"/>
      </w:tblGrid>
      <w:tr w:rsidR="004F0813">
        <w:trPr>
          <w:trHeight w:val="268"/>
        </w:trPr>
        <w:tc>
          <w:tcPr>
            <w:tcW w:w="9496" w:type="dxa"/>
            <w:gridSpan w:val="2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8. PROGRAMME STRUCTURE</w:t>
            </w:r>
          </w:p>
        </w:tc>
      </w:tr>
      <w:tr w:rsidR="004F0813">
        <w:trPr>
          <w:trHeight w:val="268"/>
        </w:trPr>
        <w:tc>
          <w:tcPr>
            <w:tcW w:w="487" w:type="dxa"/>
          </w:tcPr>
          <w:p w:rsidR="004F0813" w:rsidRDefault="00B41D3E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2D74B5"/>
              </w:rPr>
              <w:t>C</w:t>
            </w:r>
          </w:p>
        </w:tc>
        <w:tc>
          <w:tcPr>
            <w:tcW w:w="9009" w:type="dxa"/>
          </w:tcPr>
          <w:p w:rsidR="004F0813" w:rsidRDefault="00B41D3E">
            <w:pPr>
              <w:pStyle w:val="TableParagraph"/>
              <w:spacing w:line="248" w:lineRule="exact"/>
              <w:ind w:left="107"/>
            </w:pPr>
            <w:r>
              <w:t>Core i.e., modules that must be taken to be eligible for the award</w:t>
            </w:r>
          </w:p>
        </w:tc>
      </w:tr>
      <w:tr w:rsidR="004F0813">
        <w:trPr>
          <w:trHeight w:val="266"/>
        </w:trPr>
        <w:tc>
          <w:tcPr>
            <w:tcW w:w="487" w:type="dxa"/>
            <w:tcBorders>
              <w:bottom w:val="single" w:sz="6" w:space="0" w:color="000000"/>
            </w:tcBorders>
          </w:tcPr>
          <w:p w:rsidR="004F0813" w:rsidRDefault="00B41D3E">
            <w:pPr>
              <w:pStyle w:val="TableParagraph"/>
              <w:spacing w:line="246" w:lineRule="exact"/>
              <w:ind w:left="113" w:right="108"/>
              <w:jc w:val="center"/>
              <w:rPr>
                <w:b/>
              </w:rPr>
            </w:pPr>
            <w:r>
              <w:rPr>
                <w:b/>
                <w:color w:val="2D74B5"/>
              </w:rPr>
              <w:t>S1</w:t>
            </w:r>
          </w:p>
        </w:tc>
        <w:tc>
          <w:tcPr>
            <w:tcW w:w="9009" w:type="dxa"/>
            <w:tcBorders>
              <w:bottom w:val="single" w:sz="6" w:space="0" w:color="000000"/>
            </w:tcBorders>
          </w:tcPr>
          <w:p w:rsidR="004F0813" w:rsidRDefault="00B41D3E">
            <w:pPr>
              <w:pStyle w:val="TableParagraph"/>
              <w:spacing w:line="246" w:lineRule="exact"/>
              <w:ind w:left="107"/>
            </w:pPr>
            <w:r>
              <w:t>Semester 1</w:t>
            </w:r>
          </w:p>
        </w:tc>
      </w:tr>
      <w:tr w:rsidR="004F0813">
        <w:trPr>
          <w:trHeight w:val="266"/>
        </w:trPr>
        <w:tc>
          <w:tcPr>
            <w:tcW w:w="487" w:type="dxa"/>
            <w:tcBorders>
              <w:top w:val="single" w:sz="6" w:space="0" w:color="000000"/>
            </w:tcBorders>
          </w:tcPr>
          <w:p w:rsidR="004F0813" w:rsidRDefault="00B41D3E">
            <w:pPr>
              <w:pStyle w:val="TableParagraph"/>
              <w:spacing w:line="246" w:lineRule="exact"/>
              <w:ind w:left="113" w:right="108"/>
              <w:jc w:val="center"/>
              <w:rPr>
                <w:b/>
              </w:rPr>
            </w:pPr>
            <w:r>
              <w:rPr>
                <w:b/>
                <w:color w:val="2D74B5"/>
              </w:rPr>
              <w:t>S2</w:t>
            </w:r>
          </w:p>
        </w:tc>
        <w:tc>
          <w:tcPr>
            <w:tcW w:w="9009" w:type="dxa"/>
            <w:tcBorders>
              <w:top w:val="single" w:sz="6" w:space="0" w:color="000000"/>
            </w:tcBorders>
          </w:tcPr>
          <w:p w:rsidR="004F0813" w:rsidRDefault="00B41D3E">
            <w:pPr>
              <w:pStyle w:val="TableParagraph"/>
              <w:spacing w:line="246" w:lineRule="exact"/>
              <w:ind w:left="107"/>
            </w:pPr>
            <w:r>
              <w:t>Semester 2</w:t>
            </w:r>
          </w:p>
        </w:tc>
      </w:tr>
    </w:tbl>
    <w:p w:rsidR="004F0813" w:rsidRDefault="004F0813">
      <w:pPr>
        <w:spacing w:before="2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717"/>
        <w:gridCol w:w="775"/>
        <w:gridCol w:w="1311"/>
        <w:gridCol w:w="1186"/>
      </w:tblGrid>
      <w:tr w:rsidR="004F0813">
        <w:trPr>
          <w:trHeight w:val="633"/>
        </w:trPr>
        <w:tc>
          <w:tcPr>
            <w:tcW w:w="9496" w:type="dxa"/>
            <w:gridSpan w:val="5"/>
            <w:shd w:val="clear" w:color="auto" w:fill="FAE3D4"/>
          </w:tcPr>
          <w:p w:rsidR="004F0813" w:rsidRDefault="00B41D3E">
            <w:pPr>
              <w:pStyle w:val="TableParagraph"/>
              <w:spacing w:before="47"/>
              <w:ind w:left="107" w:right="5897"/>
              <w:rPr>
                <w:b/>
              </w:rPr>
            </w:pPr>
            <w:r>
              <w:rPr>
                <w:b/>
              </w:rPr>
              <w:t>Year 1 Semester 1– Level 9 (NQ-MQA) 1st Cycle Advanced (NQ-EHEA)</w:t>
            </w:r>
          </w:p>
        </w:tc>
      </w:tr>
      <w:tr w:rsidR="004F0813">
        <w:trPr>
          <w:trHeight w:val="268"/>
        </w:trPr>
        <w:tc>
          <w:tcPr>
            <w:tcW w:w="1507" w:type="dxa"/>
            <w:shd w:val="clear" w:color="auto" w:fill="BEBEBE"/>
          </w:tcPr>
          <w:p w:rsidR="004F0813" w:rsidRDefault="00B41D3E">
            <w:pPr>
              <w:pStyle w:val="TableParagraph"/>
              <w:spacing w:line="248" w:lineRule="exact"/>
              <w:ind w:left="139" w:right="131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717" w:type="dxa"/>
            <w:shd w:val="clear" w:color="auto" w:fill="BEBEBE"/>
          </w:tcPr>
          <w:p w:rsidR="004F0813" w:rsidRDefault="00B41D3E">
            <w:pPr>
              <w:pStyle w:val="TableParagraph"/>
              <w:spacing w:line="248" w:lineRule="exact"/>
              <w:ind w:left="1754" w:right="1747"/>
              <w:jc w:val="center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775" w:type="dxa"/>
            <w:shd w:val="clear" w:color="auto" w:fill="BEBEBE"/>
          </w:tcPr>
          <w:p w:rsidR="004F0813" w:rsidRDefault="00B41D3E">
            <w:pPr>
              <w:pStyle w:val="TableParagraph"/>
              <w:spacing w:line="248" w:lineRule="exact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11" w:type="dxa"/>
            <w:shd w:val="clear" w:color="auto" w:fill="BEBEBE"/>
          </w:tcPr>
          <w:p w:rsidR="004F0813" w:rsidRDefault="00B41D3E">
            <w:pPr>
              <w:pStyle w:val="TableParagraph"/>
              <w:spacing w:line="248" w:lineRule="exact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186" w:type="dxa"/>
            <w:shd w:val="clear" w:color="auto" w:fill="A6A6A6"/>
          </w:tcPr>
          <w:p w:rsidR="004F0813" w:rsidRDefault="00B41D3E">
            <w:pPr>
              <w:pStyle w:val="TableParagraph"/>
              <w:spacing w:line="248" w:lineRule="exact"/>
              <w:ind w:left="251" w:right="243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F0813">
        <w:trPr>
          <w:trHeight w:val="268"/>
        </w:trPr>
        <w:tc>
          <w:tcPr>
            <w:tcW w:w="1507" w:type="dxa"/>
          </w:tcPr>
          <w:p w:rsidR="004F0813" w:rsidRDefault="00B41D3E">
            <w:pPr>
              <w:pStyle w:val="TableParagraph"/>
              <w:spacing w:line="248" w:lineRule="exact"/>
              <w:ind w:left="139" w:right="131"/>
              <w:jc w:val="center"/>
            </w:pPr>
            <w:r>
              <w:t>OU</w:t>
            </w:r>
            <w:r w:rsidR="00EA4F4F">
              <w:t>pd003111</w:t>
            </w:r>
          </w:p>
        </w:tc>
        <w:tc>
          <w:tcPr>
            <w:tcW w:w="4717" w:type="dxa"/>
          </w:tcPr>
          <w:p w:rsidR="004F0813" w:rsidRPr="0027761C" w:rsidRDefault="0027761C">
            <w:pPr>
              <w:pStyle w:val="TableParagraph"/>
              <w:spacing w:line="248" w:lineRule="exact"/>
              <w:ind w:left="107"/>
            </w:pPr>
            <w:r w:rsidRPr="0027761C">
              <w:rPr>
                <w:bCs/>
              </w:rPr>
              <w:t>The Legal and Regulatory Environment</w:t>
            </w:r>
          </w:p>
        </w:tc>
        <w:tc>
          <w:tcPr>
            <w:tcW w:w="775" w:type="dxa"/>
          </w:tcPr>
          <w:p w:rsidR="004F0813" w:rsidRPr="0027761C" w:rsidRDefault="00B41D3E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 w:rsidRPr="0027761C">
              <w:rPr>
                <w:b/>
              </w:rPr>
              <w:t>C</w:t>
            </w:r>
          </w:p>
        </w:tc>
        <w:tc>
          <w:tcPr>
            <w:tcW w:w="1311" w:type="dxa"/>
          </w:tcPr>
          <w:p w:rsidR="004F0813" w:rsidRDefault="00B41D3E">
            <w:pPr>
              <w:pStyle w:val="TableParagraph"/>
              <w:spacing w:line="248" w:lineRule="exact"/>
              <w:ind w:left="204" w:right="19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4F0813" w:rsidRDefault="008F0974">
            <w:pPr>
              <w:pStyle w:val="TableParagraph"/>
              <w:spacing w:line="248" w:lineRule="exact"/>
              <w:ind w:left="251" w:right="24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F0813">
        <w:trPr>
          <w:trHeight w:val="268"/>
        </w:trPr>
        <w:tc>
          <w:tcPr>
            <w:tcW w:w="1507" w:type="dxa"/>
          </w:tcPr>
          <w:p w:rsidR="004F0813" w:rsidRDefault="00EA4F4F">
            <w:pPr>
              <w:pStyle w:val="TableParagraph"/>
              <w:spacing w:line="248" w:lineRule="exact"/>
              <w:ind w:left="139" w:right="131"/>
              <w:jc w:val="center"/>
            </w:pPr>
            <w:r>
              <w:t>OUpd003112</w:t>
            </w:r>
          </w:p>
        </w:tc>
        <w:tc>
          <w:tcPr>
            <w:tcW w:w="4717" w:type="dxa"/>
          </w:tcPr>
          <w:p w:rsidR="004F0813" w:rsidRDefault="0027761C">
            <w:pPr>
              <w:pStyle w:val="TableParagraph"/>
              <w:spacing w:line="248" w:lineRule="exact"/>
              <w:ind w:left="107"/>
            </w:pPr>
            <w:r>
              <w:rPr>
                <w:color w:val="333333"/>
              </w:rPr>
              <w:t>The Business Risk Assessment and Mitigation</w:t>
            </w:r>
          </w:p>
        </w:tc>
        <w:tc>
          <w:tcPr>
            <w:tcW w:w="775" w:type="dxa"/>
          </w:tcPr>
          <w:p w:rsidR="004F0813" w:rsidRDefault="00B41D3E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1" w:type="dxa"/>
          </w:tcPr>
          <w:p w:rsidR="004F0813" w:rsidRDefault="00B41D3E">
            <w:pPr>
              <w:pStyle w:val="TableParagraph"/>
              <w:spacing w:line="248" w:lineRule="exact"/>
              <w:ind w:left="204" w:right="19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4F0813" w:rsidRDefault="008F0974">
            <w:pPr>
              <w:pStyle w:val="TableParagraph"/>
              <w:spacing w:line="248" w:lineRule="exact"/>
              <w:ind w:left="251" w:right="24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F0813">
        <w:trPr>
          <w:trHeight w:val="268"/>
        </w:trPr>
        <w:tc>
          <w:tcPr>
            <w:tcW w:w="1507" w:type="dxa"/>
          </w:tcPr>
          <w:p w:rsidR="004F0813" w:rsidRDefault="00EA4F4F">
            <w:pPr>
              <w:pStyle w:val="TableParagraph"/>
              <w:spacing w:line="248" w:lineRule="exact"/>
              <w:ind w:left="139" w:right="131"/>
              <w:jc w:val="center"/>
            </w:pPr>
            <w:r>
              <w:t>OUpd003113</w:t>
            </w:r>
          </w:p>
        </w:tc>
        <w:tc>
          <w:tcPr>
            <w:tcW w:w="4717" w:type="dxa"/>
          </w:tcPr>
          <w:p w:rsidR="004F0813" w:rsidRDefault="0027761C">
            <w:pPr>
              <w:pStyle w:val="TableParagraph"/>
              <w:spacing w:line="248" w:lineRule="exact"/>
              <w:ind w:left="107"/>
            </w:pPr>
            <w:r>
              <w:rPr>
                <w:color w:val="333333"/>
              </w:rPr>
              <w:t>Ongoing Monitoring</w:t>
            </w:r>
          </w:p>
        </w:tc>
        <w:tc>
          <w:tcPr>
            <w:tcW w:w="775" w:type="dxa"/>
          </w:tcPr>
          <w:p w:rsidR="004F0813" w:rsidRDefault="00B41D3E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1" w:type="dxa"/>
          </w:tcPr>
          <w:p w:rsidR="004F0813" w:rsidRDefault="00B41D3E">
            <w:pPr>
              <w:pStyle w:val="TableParagraph"/>
              <w:spacing w:line="248" w:lineRule="exact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4F0813" w:rsidRDefault="008F0974">
            <w:pPr>
              <w:pStyle w:val="TableParagraph"/>
              <w:spacing w:line="248" w:lineRule="exact"/>
              <w:ind w:left="251" w:right="24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F0813">
        <w:trPr>
          <w:trHeight w:val="268"/>
        </w:trPr>
        <w:tc>
          <w:tcPr>
            <w:tcW w:w="1507" w:type="dxa"/>
          </w:tcPr>
          <w:p w:rsidR="004F0813" w:rsidRDefault="00EA4F4F">
            <w:pPr>
              <w:pStyle w:val="TableParagraph"/>
              <w:spacing w:line="248" w:lineRule="exact"/>
              <w:ind w:left="139" w:right="131"/>
              <w:jc w:val="center"/>
            </w:pPr>
            <w:r>
              <w:t>OUpd003114</w:t>
            </w:r>
          </w:p>
        </w:tc>
        <w:tc>
          <w:tcPr>
            <w:tcW w:w="4717" w:type="dxa"/>
          </w:tcPr>
          <w:p w:rsidR="004F0813" w:rsidRDefault="0027761C">
            <w:pPr>
              <w:pStyle w:val="TableParagraph"/>
              <w:spacing w:line="248" w:lineRule="exact"/>
              <w:ind w:left="107"/>
            </w:pPr>
            <w:r>
              <w:rPr>
                <w:color w:val="333333"/>
              </w:rPr>
              <w:t>The Risk Matrix</w:t>
            </w:r>
          </w:p>
        </w:tc>
        <w:tc>
          <w:tcPr>
            <w:tcW w:w="775" w:type="dxa"/>
          </w:tcPr>
          <w:p w:rsidR="004F0813" w:rsidRDefault="00B41D3E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1" w:type="dxa"/>
          </w:tcPr>
          <w:p w:rsidR="004F0813" w:rsidRDefault="00B41D3E">
            <w:pPr>
              <w:pStyle w:val="TableParagraph"/>
              <w:spacing w:line="248" w:lineRule="exact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4F0813" w:rsidRDefault="008F0974">
            <w:pPr>
              <w:pStyle w:val="TableParagraph"/>
              <w:spacing w:line="248" w:lineRule="exact"/>
              <w:ind w:left="251" w:right="24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7761C">
        <w:trPr>
          <w:trHeight w:val="268"/>
        </w:trPr>
        <w:tc>
          <w:tcPr>
            <w:tcW w:w="1507" w:type="dxa"/>
          </w:tcPr>
          <w:p w:rsidR="0027761C" w:rsidRDefault="00EA4F4F" w:rsidP="0027761C">
            <w:pPr>
              <w:pStyle w:val="TableParagraph"/>
              <w:spacing w:line="248" w:lineRule="exact"/>
              <w:ind w:left="139" w:right="131"/>
              <w:jc w:val="center"/>
            </w:pPr>
            <w:r>
              <w:t>OUpd003115</w:t>
            </w:r>
          </w:p>
        </w:tc>
        <w:tc>
          <w:tcPr>
            <w:tcW w:w="4717" w:type="dxa"/>
          </w:tcPr>
          <w:p w:rsidR="0027761C" w:rsidRDefault="0027761C" w:rsidP="0027761C">
            <w:pPr>
              <w:pStyle w:val="TableParagraph"/>
              <w:spacing w:line="248" w:lineRule="exact"/>
              <w:ind w:left="107"/>
              <w:rPr>
                <w:color w:val="333333"/>
              </w:rPr>
            </w:pPr>
            <w:r>
              <w:rPr>
                <w:color w:val="333333"/>
              </w:rPr>
              <w:t>Corporate Governance</w:t>
            </w:r>
          </w:p>
        </w:tc>
        <w:tc>
          <w:tcPr>
            <w:tcW w:w="775" w:type="dxa"/>
          </w:tcPr>
          <w:p w:rsidR="0027761C" w:rsidRDefault="0027761C" w:rsidP="0027761C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311" w:type="dxa"/>
          </w:tcPr>
          <w:p w:rsidR="0027761C" w:rsidRDefault="0027761C" w:rsidP="0027761C">
            <w:pPr>
              <w:pStyle w:val="TableParagraph"/>
              <w:spacing w:line="248" w:lineRule="exact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186" w:type="dxa"/>
          </w:tcPr>
          <w:p w:rsidR="0027761C" w:rsidRDefault="008F0974" w:rsidP="0027761C">
            <w:pPr>
              <w:pStyle w:val="TableParagraph"/>
              <w:spacing w:line="248" w:lineRule="exact"/>
              <w:ind w:left="251" w:right="24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F0813">
        <w:trPr>
          <w:trHeight w:val="270"/>
        </w:trPr>
        <w:tc>
          <w:tcPr>
            <w:tcW w:w="8310" w:type="dxa"/>
            <w:gridSpan w:val="4"/>
            <w:shd w:val="clear" w:color="auto" w:fill="E1EED9"/>
          </w:tcPr>
          <w:p w:rsidR="004F0813" w:rsidRDefault="00B41D3E">
            <w:pPr>
              <w:pStyle w:val="TableParagraph"/>
              <w:spacing w:line="251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Credit Total</w:t>
            </w:r>
          </w:p>
        </w:tc>
        <w:tc>
          <w:tcPr>
            <w:tcW w:w="1186" w:type="dxa"/>
            <w:shd w:val="clear" w:color="auto" w:fill="E1EED9"/>
          </w:tcPr>
          <w:p w:rsidR="004F0813" w:rsidRDefault="008F0974">
            <w:pPr>
              <w:pStyle w:val="TableParagraph"/>
              <w:spacing w:line="251" w:lineRule="exact"/>
              <w:ind w:left="251" w:right="24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F0813" w:rsidRDefault="004F0813">
      <w:pPr>
        <w:rPr>
          <w:b/>
          <w:sz w:val="20"/>
        </w:rPr>
      </w:pPr>
    </w:p>
    <w:p w:rsidR="004F0813" w:rsidRDefault="004F0813">
      <w:pPr>
        <w:spacing w:before="1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681"/>
        <w:gridCol w:w="809"/>
        <w:gridCol w:w="1261"/>
        <w:gridCol w:w="1260"/>
      </w:tblGrid>
      <w:tr w:rsidR="004F0813">
        <w:trPr>
          <w:trHeight w:val="537"/>
        </w:trPr>
        <w:tc>
          <w:tcPr>
            <w:tcW w:w="9537" w:type="dxa"/>
            <w:gridSpan w:val="5"/>
            <w:shd w:val="clear" w:color="auto" w:fill="FAE3D4"/>
          </w:tcPr>
          <w:p w:rsidR="004F0813" w:rsidRDefault="00B41D3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 1 Semester 2 – Level 9 (NQ-MQA)</w:t>
            </w:r>
          </w:p>
          <w:p w:rsidR="004F0813" w:rsidRDefault="00B41D3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2nd Cycle Advanced (NQ-EHEA)</w:t>
            </w:r>
          </w:p>
        </w:tc>
      </w:tr>
      <w:tr w:rsidR="004F0813">
        <w:trPr>
          <w:trHeight w:val="268"/>
        </w:trPr>
        <w:tc>
          <w:tcPr>
            <w:tcW w:w="1526" w:type="dxa"/>
            <w:shd w:val="clear" w:color="auto" w:fill="A6A6A6"/>
          </w:tcPr>
          <w:p w:rsidR="004F0813" w:rsidRDefault="00B41D3E">
            <w:pPr>
              <w:pStyle w:val="TableParagraph"/>
              <w:spacing w:line="248" w:lineRule="exact"/>
              <w:ind w:left="148" w:right="140"/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681" w:type="dxa"/>
            <w:shd w:val="clear" w:color="auto" w:fill="A6A6A6"/>
          </w:tcPr>
          <w:p w:rsidR="004F0813" w:rsidRDefault="00B41D3E">
            <w:pPr>
              <w:pStyle w:val="TableParagraph"/>
              <w:spacing w:line="248" w:lineRule="exact"/>
              <w:ind w:left="1735" w:right="1730"/>
              <w:jc w:val="center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809" w:type="dxa"/>
            <w:shd w:val="clear" w:color="auto" w:fill="A6A6A6"/>
          </w:tcPr>
          <w:p w:rsidR="004F0813" w:rsidRDefault="00B41D3E">
            <w:pPr>
              <w:pStyle w:val="TableParagraph"/>
              <w:spacing w:line="248" w:lineRule="exact"/>
              <w:ind w:left="161" w:right="156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261" w:type="dxa"/>
            <w:shd w:val="clear" w:color="auto" w:fill="A6A6A6"/>
          </w:tcPr>
          <w:p w:rsidR="004F0813" w:rsidRDefault="00B41D3E">
            <w:pPr>
              <w:pStyle w:val="TableParagraph"/>
              <w:spacing w:line="248" w:lineRule="exact"/>
              <w:ind w:left="181" w:right="172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260" w:type="dxa"/>
            <w:shd w:val="clear" w:color="auto" w:fill="A6A6A6"/>
          </w:tcPr>
          <w:p w:rsidR="004F0813" w:rsidRDefault="00B41D3E">
            <w:pPr>
              <w:pStyle w:val="TableParagraph"/>
              <w:spacing w:line="248" w:lineRule="exact"/>
              <w:ind w:left="289" w:right="279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F0813">
        <w:trPr>
          <w:trHeight w:val="270"/>
        </w:trPr>
        <w:tc>
          <w:tcPr>
            <w:tcW w:w="1526" w:type="dxa"/>
          </w:tcPr>
          <w:p w:rsidR="004F0813" w:rsidRDefault="00C53E76">
            <w:pPr>
              <w:pStyle w:val="TableParagraph"/>
              <w:spacing w:before="1" w:line="249" w:lineRule="exact"/>
              <w:ind w:left="148" w:right="140"/>
              <w:jc w:val="center"/>
            </w:pPr>
            <w:r>
              <w:t>OU</w:t>
            </w:r>
            <w:r w:rsidR="00EA4F4F">
              <w:t>pd003121</w:t>
            </w:r>
          </w:p>
        </w:tc>
        <w:tc>
          <w:tcPr>
            <w:tcW w:w="4681" w:type="dxa"/>
          </w:tcPr>
          <w:p w:rsidR="004F0813" w:rsidRDefault="0027761C">
            <w:pPr>
              <w:pStyle w:val="TableParagraph"/>
              <w:spacing w:before="1" w:line="249" w:lineRule="exact"/>
              <w:ind w:left="105"/>
            </w:pPr>
            <w:proofErr w:type="spellStart"/>
            <w:r w:rsidRPr="0027761C">
              <w:rPr>
                <w:color w:val="333333"/>
              </w:rPr>
              <w:t>Recognising</w:t>
            </w:r>
            <w:proofErr w:type="spellEnd"/>
            <w:r w:rsidRPr="0027761C">
              <w:rPr>
                <w:color w:val="333333"/>
              </w:rPr>
              <w:t xml:space="preserve"> and Filing Suspicious Transactions</w:t>
            </w:r>
          </w:p>
        </w:tc>
        <w:tc>
          <w:tcPr>
            <w:tcW w:w="809" w:type="dxa"/>
          </w:tcPr>
          <w:p w:rsidR="004F0813" w:rsidRDefault="00B41D3E">
            <w:pPr>
              <w:pStyle w:val="TableParagraph"/>
              <w:spacing w:before="1"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1" w:type="dxa"/>
          </w:tcPr>
          <w:p w:rsidR="004F0813" w:rsidRDefault="00B41D3E">
            <w:pPr>
              <w:pStyle w:val="TableParagraph"/>
              <w:spacing w:before="1" w:line="249" w:lineRule="exact"/>
              <w:ind w:left="177" w:right="172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60" w:type="dxa"/>
          </w:tcPr>
          <w:p w:rsidR="004F0813" w:rsidRDefault="009B460E">
            <w:pPr>
              <w:pStyle w:val="TableParagraph"/>
              <w:spacing w:before="1" w:line="249" w:lineRule="exact"/>
              <w:ind w:left="289" w:right="27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F0813">
        <w:trPr>
          <w:trHeight w:val="268"/>
        </w:trPr>
        <w:tc>
          <w:tcPr>
            <w:tcW w:w="1526" w:type="dxa"/>
          </w:tcPr>
          <w:p w:rsidR="004F0813" w:rsidRDefault="00EA4F4F">
            <w:pPr>
              <w:pStyle w:val="TableParagraph"/>
              <w:spacing w:line="248" w:lineRule="exact"/>
              <w:ind w:left="148" w:right="139"/>
              <w:jc w:val="center"/>
            </w:pPr>
            <w:r>
              <w:t>OUpd003122</w:t>
            </w:r>
          </w:p>
        </w:tc>
        <w:tc>
          <w:tcPr>
            <w:tcW w:w="4681" w:type="dxa"/>
          </w:tcPr>
          <w:p w:rsidR="004F0813" w:rsidRDefault="008846FF">
            <w:pPr>
              <w:pStyle w:val="TableParagraph"/>
              <w:spacing w:line="248" w:lineRule="exact"/>
              <w:ind w:left="105"/>
            </w:pPr>
            <w:r w:rsidRPr="008846FF">
              <w:rPr>
                <w:color w:val="333333"/>
              </w:rPr>
              <w:t>The Independent Audit &amp; Passing the Risk Based Supervision Test (RBS)</w:t>
            </w:r>
          </w:p>
        </w:tc>
        <w:tc>
          <w:tcPr>
            <w:tcW w:w="809" w:type="dxa"/>
          </w:tcPr>
          <w:p w:rsidR="004F0813" w:rsidRDefault="00B41D3E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1" w:type="dxa"/>
          </w:tcPr>
          <w:p w:rsidR="004F0813" w:rsidRDefault="00B41D3E">
            <w:pPr>
              <w:pStyle w:val="TableParagraph"/>
              <w:spacing w:line="248" w:lineRule="exact"/>
              <w:ind w:left="177" w:right="172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60" w:type="dxa"/>
          </w:tcPr>
          <w:p w:rsidR="004F0813" w:rsidRDefault="00B41D3E">
            <w:pPr>
              <w:pStyle w:val="TableParagraph"/>
              <w:spacing w:line="248" w:lineRule="exact"/>
              <w:ind w:left="289" w:right="27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460E">
              <w:rPr>
                <w:b/>
              </w:rPr>
              <w:t>2</w:t>
            </w:r>
          </w:p>
        </w:tc>
      </w:tr>
      <w:tr w:rsidR="004F0813">
        <w:trPr>
          <w:trHeight w:val="268"/>
        </w:trPr>
        <w:tc>
          <w:tcPr>
            <w:tcW w:w="1526" w:type="dxa"/>
          </w:tcPr>
          <w:p w:rsidR="004F0813" w:rsidRDefault="00EA4F4F">
            <w:pPr>
              <w:pStyle w:val="TableParagraph"/>
              <w:spacing w:line="248" w:lineRule="exact"/>
              <w:ind w:left="148" w:right="139"/>
              <w:jc w:val="center"/>
            </w:pPr>
            <w:r>
              <w:t>OUpd003123</w:t>
            </w:r>
          </w:p>
        </w:tc>
        <w:tc>
          <w:tcPr>
            <w:tcW w:w="4681" w:type="dxa"/>
          </w:tcPr>
          <w:p w:rsidR="004F0813" w:rsidRPr="008846FF" w:rsidRDefault="008846FF">
            <w:pPr>
              <w:pStyle w:val="TableParagraph"/>
              <w:spacing w:line="248" w:lineRule="exact"/>
              <w:ind w:left="105"/>
            </w:pPr>
            <w:r w:rsidRPr="008846FF">
              <w:rPr>
                <w:bCs/>
              </w:rPr>
              <w:t>Case Based Approach for MLROs</w:t>
            </w:r>
          </w:p>
        </w:tc>
        <w:tc>
          <w:tcPr>
            <w:tcW w:w="809" w:type="dxa"/>
          </w:tcPr>
          <w:p w:rsidR="004F0813" w:rsidRDefault="00B41D3E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1" w:type="dxa"/>
          </w:tcPr>
          <w:p w:rsidR="004F0813" w:rsidRDefault="00B41D3E">
            <w:pPr>
              <w:pStyle w:val="TableParagraph"/>
              <w:spacing w:line="248" w:lineRule="exact"/>
              <w:ind w:left="177" w:right="172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60" w:type="dxa"/>
          </w:tcPr>
          <w:p w:rsidR="004F0813" w:rsidRDefault="00B41D3E">
            <w:pPr>
              <w:pStyle w:val="TableParagraph"/>
              <w:spacing w:line="248" w:lineRule="exact"/>
              <w:ind w:left="289" w:right="2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460E">
              <w:rPr>
                <w:b/>
              </w:rPr>
              <w:t>2</w:t>
            </w:r>
          </w:p>
        </w:tc>
      </w:tr>
      <w:tr w:rsidR="004F0813">
        <w:trPr>
          <w:trHeight w:val="268"/>
        </w:trPr>
        <w:tc>
          <w:tcPr>
            <w:tcW w:w="1526" w:type="dxa"/>
          </w:tcPr>
          <w:p w:rsidR="004F0813" w:rsidRDefault="00EA4F4F">
            <w:pPr>
              <w:pStyle w:val="TableParagraph"/>
              <w:spacing w:line="248" w:lineRule="exact"/>
              <w:ind w:left="148" w:right="140"/>
              <w:jc w:val="center"/>
            </w:pPr>
            <w:r>
              <w:t>OUpd003124</w:t>
            </w:r>
          </w:p>
        </w:tc>
        <w:tc>
          <w:tcPr>
            <w:tcW w:w="4681" w:type="dxa"/>
          </w:tcPr>
          <w:p w:rsidR="004F0813" w:rsidRDefault="008846FF">
            <w:pPr>
              <w:pStyle w:val="TableParagraph"/>
              <w:spacing w:line="248" w:lineRule="exact"/>
              <w:ind w:left="105"/>
            </w:pPr>
            <w:r>
              <w:t>Targeted Sanctions</w:t>
            </w:r>
          </w:p>
        </w:tc>
        <w:tc>
          <w:tcPr>
            <w:tcW w:w="809" w:type="dxa"/>
          </w:tcPr>
          <w:p w:rsidR="004F0813" w:rsidRDefault="00B41D3E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1" w:type="dxa"/>
          </w:tcPr>
          <w:p w:rsidR="004F0813" w:rsidRDefault="00B41D3E">
            <w:pPr>
              <w:pStyle w:val="TableParagraph"/>
              <w:spacing w:line="248" w:lineRule="exact"/>
              <w:ind w:left="176" w:right="172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60" w:type="dxa"/>
          </w:tcPr>
          <w:p w:rsidR="004F0813" w:rsidRDefault="00B41D3E">
            <w:pPr>
              <w:pStyle w:val="TableParagraph"/>
              <w:spacing w:line="248" w:lineRule="exact"/>
              <w:ind w:left="289" w:right="2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460E">
              <w:rPr>
                <w:b/>
              </w:rPr>
              <w:t>2</w:t>
            </w:r>
          </w:p>
        </w:tc>
      </w:tr>
      <w:tr w:rsidR="008846FF">
        <w:trPr>
          <w:trHeight w:val="268"/>
        </w:trPr>
        <w:tc>
          <w:tcPr>
            <w:tcW w:w="1526" w:type="dxa"/>
          </w:tcPr>
          <w:p w:rsidR="008846FF" w:rsidRDefault="000B73E4" w:rsidP="008846FF">
            <w:pPr>
              <w:pStyle w:val="TableParagraph"/>
              <w:spacing w:line="248" w:lineRule="exact"/>
              <w:ind w:left="148" w:right="140"/>
              <w:jc w:val="center"/>
            </w:pPr>
            <w:r>
              <w:t>OUpd003125</w:t>
            </w:r>
          </w:p>
        </w:tc>
        <w:tc>
          <w:tcPr>
            <w:tcW w:w="4681" w:type="dxa"/>
          </w:tcPr>
          <w:p w:rsidR="008846FF" w:rsidRDefault="008846FF" w:rsidP="008846FF">
            <w:pPr>
              <w:pStyle w:val="TableParagraph"/>
              <w:spacing w:line="248" w:lineRule="exact"/>
              <w:ind w:left="105"/>
            </w:pPr>
            <w:r w:rsidRPr="008846FF">
              <w:t>Global trends in the fight against financial crime (including cryptocurrency)</w:t>
            </w:r>
          </w:p>
        </w:tc>
        <w:tc>
          <w:tcPr>
            <w:tcW w:w="809" w:type="dxa"/>
          </w:tcPr>
          <w:p w:rsidR="008846FF" w:rsidRDefault="008846FF" w:rsidP="008846FF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61" w:type="dxa"/>
          </w:tcPr>
          <w:p w:rsidR="008846FF" w:rsidRDefault="008846FF" w:rsidP="008846FF">
            <w:pPr>
              <w:pStyle w:val="TableParagraph"/>
              <w:spacing w:line="248" w:lineRule="exact"/>
              <w:ind w:left="176" w:right="172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260" w:type="dxa"/>
          </w:tcPr>
          <w:p w:rsidR="008846FF" w:rsidRDefault="008846FF" w:rsidP="008846FF">
            <w:pPr>
              <w:pStyle w:val="TableParagraph"/>
              <w:spacing w:line="248" w:lineRule="exact"/>
              <w:ind w:left="289" w:right="27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460E">
              <w:rPr>
                <w:b/>
              </w:rPr>
              <w:t>2</w:t>
            </w:r>
          </w:p>
        </w:tc>
      </w:tr>
      <w:tr w:rsidR="004F0813">
        <w:trPr>
          <w:trHeight w:val="268"/>
        </w:trPr>
        <w:tc>
          <w:tcPr>
            <w:tcW w:w="9537" w:type="dxa"/>
            <w:gridSpan w:val="5"/>
            <w:shd w:val="clear" w:color="auto" w:fill="FFE499"/>
          </w:tcPr>
          <w:p w:rsidR="004F0813" w:rsidRDefault="004F08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813">
        <w:trPr>
          <w:trHeight w:val="268"/>
        </w:trPr>
        <w:tc>
          <w:tcPr>
            <w:tcW w:w="8277" w:type="dxa"/>
            <w:gridSpan w:val="4"/>
            <w:shd w:val="clear" w:color="auto" w:fill="E1EED9"/>
          </w:tcPr>
          <w:p w:rsidR="004F0813" w:rsidRDefault="00B41D3E">
            <w:pPr>
              <w:pStyle w:val="TableParagraph"/>
              <w:spacing w:line="248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Credit Total</w:t>
            </w:r>
          </w:p>
        </w:tc>
        <w:tc>
          <w:tcPr>
            <w:tcW w:w="1260" w:type="dxa"/>
            <w:shd w:val="clear" w:color="auto" w:fill="E1EED9"/>
          </w:tcPr>
          <w:p w:rsidR="004F0813" w:rsidRDefault="009B460E">
            <w:pPr>
              <w:pStyle w:val="TableParagraph"/>
              <w:spacing w:line="248" w:lineRule="exact"/>
              <w:ind w:left="289" w:right="279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F0813" w:rsidRDefault="004F0813">
      <w:pPr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7"/>
        <w:gridCol w:w="1260"/>
      </w:tblGrid>
      <w:tr w:rsidR="004F0813">
        <w:trPr>
          <w:trHeight w:val="792"/>
        </w:trPr>
        <w:tc>
          <w:tcPr>
            <w:tcW w:w="8277" w:type="dxa"/>
            <w:shd w:val="clear" w:color="auto" w:fill="F7C9AC"/>
          </w:tcPr>
          <w:p w:rsidR="004F0813" w:rsidRDefault="004F081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5266"/>
              <w:rPr>
                <w:b/>
              </w:rPr>
            </w:pPr>
            <w:r>
              <w:rPr>
                <w:b/>
              </w:rPr>
              <w:t xml:space="preserve">Overall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Credit Total</w:t>
            </w:r>
          </w:p>
        </w:tc>
        <w:tc>
          <w:tcPr>
            <w:tcW w:w="1260" w:type="dxa"/>
            <w:shd w:val="clear" w:color="auto" w:fill="F7C9AC"/>
          </w:tcPr>
          <w:p w:rsidR="004F0813" w:rsidRDefault="004F081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289" w:right="27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460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</w:tr>
    </w:tbl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rPr>
          <w:b/>
          <w:sz w:val="20"/>
        </w:rPr>
      </w:pPr>
    </w:p>
    <w:p w:rsidR="004F0813" w:rsidRDefault="004F0813">
      <w:pPr>
        <w:spacing w:before="3"/>
        <w:rPr>
          <w:b/>
          <w:sz w:val="25"/>
        </w:rPr>
      </w:pPr>
    </w:p>
    <w:p w:rsidR="004F0813" w:rsidRDefault="00B41D3E">
      <w:pPr>
        <w:spacing w:before="57"/>
        <w:ind w:right="1482"/>
        <w:jc w:val="right"/>
        <w:rPr>
          <w:b/>
        </w:rPr>
      </w:pPr>
      <w:r>
        <w:rPr>
          <w:b/>
        </w:rPr>
        <w:t>\</w:t>
      </w:r>
    </w:p>
    <w:p w:rsidR="004F0813" w:rsidRDefault="004F0813">
      <w:pPr>
        <w:jc w:val="right"/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1730"/>
        <w:gridCol w:w="2616"/>
        <w:gridCol w:w="2520"/>
      </w:tblGrid>
      <w:tr w:rsidR="004F0813">
        <w:trPr>
          <w:trHeight w:val="268"/>
        </w:trPr>
        <w:tc>
          <w:tcPr>
            <w:tcW w:w="9535" w:type="dxa"/>
            <w:gridSpan w:val="4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9. GRADING</w:t>
            </w:r>
          </w:p>
        </w:tc>
      </w:tr>
      <w:tr w:rsidR="004F0813">
        <w:trPr>
          <w:trHeight w:val="2685"/>
        </w:trPr>
        <w:tc>
          <w:tcPr>
            <w:tcW w:w="9535" w:type="dxa"/>
            <w:gridSpan w:val="4"/>
          </w:tcPr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Grading system:</w:t>
            </w:r>
          </w:p>
          <w:p w:rsidR="004F0813" w:rsidRPr="008846FF" w:rsidRDefault="00B41D3E" w:rsidP="008846FF">
            <w:pPr>
              <w:pStyle w:val="TableParagraph"/>
              <w:spacing w:before="8" w:line="530" w:lineRule="atLeast"/>
              <w:ind w:left="107" w:right="1328"/>
            </w:pPr>
            <w:r>
              <w:t>Assessments are graded in percentage and correspond to a letter grade and a grade point. To pass, Students need a</w:t>
            </w:r>
            <w:r>
              <w:rPr>
                <w:b/>
              </w:rPr>
              <w:t xml:space="preserve"> </w:t>
            </w:r>
            <w:r w:rsidR="00DF42A7">
              <w:rPr>
                <w:b/>
              </w:rPr>
              <w:t>5</w:t>
            </w:r>
            <w:r>
              <w:rPr>
                <w:b/>
              </w:rPr>
              <w:t xml:space="preserve">0% weighted average </w:t>
            </w:r>
            <w:r w:rsidR="00D1414C">
              <w:t>for</w:t>
            </w:r>
            <w:r w:rsidR="0074580F">
              <w:rPr>
                <w:b/>
                <w:color w:val="2D74B5"/>
              </w:rPr>
              <w:t xml:space="preserve"> </w:t>
            </w:r>
            <w:r>
              <w:rPr>
                <w:b/>
                <w:color w:val="2D74B5"/>
              </w:rPr>
              <w:t>continuous assessment (TMA) and</w:t>
            </w:r>
            <w:r>
              <w:rPr>
                <w:b/>
                <w:color w:val="2D74B5"/>
                <w:spacing w:val="-7"/>
              </w:rPr>
              <w:t xml:space="preserve"> </w:t>
            </w:r>
            <w:r>
              <w:rPr>
                <w:b/>
                <w:color w:val="2D74B5"/>
              </w:rPr>
              <w:t>examination.</w:t>
            </w:r>
          </w:p>
        </w:tc>
      </w:tr>
      <w:tr w:rsidR="004F0813">
        <w:trPr>
          <w:trHeight w:val="412"/>
        </w:trPr>
        <w:tc>
          <w:tcPr>
            <w:tcW w:w="2669" w:type="dxa"/>
            <w:shd w:val="clear" w:color="auto" w:fill="F7C9AC"/>
          </w:tcPr>
          <w:p w:rsidR="004F0813" w:rsidRDefault="00B41D3E">
            <w:pPr>
              <w:pStyle w:val="TableParagraph"/>
              <w:spacing w:before="71"/>
              <w:ind w:left="440" w:right="430"/>
              <w:jc w:val="center"/>
              <w:rPr>
                <w:b/>
              </w:rPr>
            </w:pPr>
            <w:r>
              <w:rPr>
                <w:b/>
              </w:rPr>
              <w:t>Marks (x) %</w:t>
            </w:r>
          </w:p>
        </w:tc>
        <w:tc>
          <w:tcPr>
            <w:tcW w:w="1730" w:type="dxa"/>
            <w:shd w:val="clear" w:color="auto" w:fill="F7C9AC"/>
          </w:tcPr>
          <w:p w:rsidR="004F0813" w:rsidRDefault="00B41D3E">
            <w:pPr>
              <w:pStyle w:val="TableParagraph"/>
              <w:spacing w:before="71"/>
              <w:ind w:left="317" w:right="309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16" w:type="dxa"/>
            <w:shd w:val="clear" w:color="auto" w:fill="F7C9AC"/>
          </w:tcPr>
          <w:p w:rsidR="004F0813" w:rsidRDefault="00B41D3E">
            <w:pPr>
              <w:pStyle w:val="TableParagraph"/>
              <w:spacing w:before="71"/>
              <w:ind w:left="559" w:right="547"/>
              <w:jc w:val="center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2520" w:type="dxa"/>
            <w:shd w:val="clear" w:color="auto" w:fill="F7C9AC"/>
          </w:tcPr>
          <w:p w:rsidR="004F0813" w:rsidRDefault="00B41D3E">
            <w:pPr>
              <w:pStyle w:val="TableParagraph"/>
              <w:spacing w:before="71"/>
              <w:ind w:left="126" w:right="113"/>
              <w:jc w:val="center"/>
              <w:rPr>
                <w:b/>
              </w:rPr>
            </w:pPr>
            <w:r>
              <w:rPr>
                <w:b/>
              </w:rPr>
              <w:t>Grade point</w:t>
            </w:r>
          </w:p>
        </w:tc>
      </w:tr>
      <w:tr w:rsidR="004F0813">
        <w:trPr>
          <w:trHeight w:val="268"/>
        </w:trPr>
        <w:tc>
          <w:tcPr>
            <w:tcW w:w="2669" w:type="dxa"/>
            <w:shd w:val="clear" w:color="auto" w:fill="6CAA46"/>
          </w:tcPr>
          <w:p w:rsidR="004F0813" w:rsidRDefault="00B41D3E">
            <w:pPr>
              <w:pStyle w:val="TableParagraph"/>
              <w:spacing w:line="248" w:lineRule="exact"/>
              <w:ind w:left="440" w:right="430"/>
              <w:jc w:val="center"/>
            </w:pPr>
            <w:r>
              <w:t>X ≥ 70</w:t>
            </w:r>
          </w:p>
        </w:tc>
        <w:tc>
          <w:tcPr>
            <w:tcW w:w="1730" w:type="dxa"/>
            <w:shd w:val="clear" w:color="auto" w:fill="6CAA46"/>
          </w:tcPr>
          <w:p w:rsidR="004F0813" w:rsidRDefault="00B41D3E">
            <w:pPr>
              <w:pStyle w:val="TableParagraph"/>
              <w:spacing w:line="248" w:lineRule="exact"/>
              <w:ind w:left="320" w:right="308"/>
              <w:jc w:val="center"/>
            </w:pPr>
            <w:r>
              <w:t>Excellent</w:t>
            </w:r>
          </w:p>
        </w:tc>
        <w:tc>
          <w:tcPr>
            <w:tcW w:w="2616" w:type="dxa"/>
            <w:shd w:val="clear" w:color="auto" w:fill="6CAA46"/>
          </w:tcPr>
          <w:p w:rsidR="004F0813" w:rsidRDefault="00B41D3E">
            <w:pPr>
              <w:pStyle w:val="TableParagraph"/>
              <w:spacing w:line="248" w:lineRule="exact"/>
              <w:ind w:left="9"/>
              <w:jc w:val="center"/>
            </w:pPr>
            <w:r>
              <w:t>A</w:t>
            </w:r>
          </w:p>
        </w:tc>
        <w:tc>
          <w:tcPr>
            <w:tcW w:w="2520" w:type="dxa"/>
            <w:shd w:val="clear" w:color="auto" w:fill="6CAA46"/>
          </w:tcPr>
          <w:p w:rsidR="004F0813" w:rsidRDefault="00B41D3E">
            <w:pPr>
              <w:pStyle w:val="TableParagraph"/>
              <w:spacing w:line="248" w:lineRule="exact"/>
              <w:ind w:left="14"/>
              <w:jc w:val="center"/>
            </w:pPr>
            <w:r>
              <w:t>5</w:t>
            </w:r>
          </w:p>
        </w:tc>
      </w:tr>
      <w:tr w:rsidR="004F0813">
        <w:trPr>
          <w:trHeight w:val="268"/>
        </w:trPr>
        <w:tc>
          <w:tcPr>
            <w:tcW w:w="2669" w:type="dxa"/>
            <w:shd w:val="clear" w:color="auto" w:fill="A8D08D"/>
          </w:tcPr>
          <w:p w:rsidR="004F0813" w:rsidRDefault="00B41D3E">
            <w:pPr>
              <w:pStyle w:val="TableParagraph"/>
              <w:spacing w:line="248" w:lineRule="exact"/>
              <w:ind w:left="440" w:right="431"/>
              <w:jc w:val="center"/>
            </w:pPr>
            <w:r>
              <w:t>60 ≤ X &lt; 70</w:t>
            </w:r>
          </w:p>
        </w:tc>
        <w:tc>
          <w:tcPr>
            <w:tcW w:w="1730" w:type="dxa"/>
            <w:shd w:val="clear" w:color="auto" w:fill="A8D08D"/>
          </w:tcPr>
          <w:p w:rsidR="004F0813" w:rsidRDefault="00B41D3E">
            <w:pPr>
              <w:pStyle w:val="TableParagraph"/>
              <w:spacing w:line="248" w:lineRule="exact"/>
              <w:ind w:left="319" w:right="309"/>
              <w:jc w:val="center"/>
            </w:pPr>
            <w:r>
              <w:t>Very Good</w:t>
            </w:r>
          </w:p>
        </w:tc>
        <w:tc>
          <w:tcPr>
            <w:tcW w:w="2616" w:type="dxa"/>
            <w:shd w:val="clear" w:color="auto" w:fill="A8D08D"/>
          </w:tcPr>
          <w:p w:rsidR="004F0813" w:rsidRDefault="00B41D3E">
            <w:pPr>
              <w:pStyle w:val="TableParagraph"/>
              <w:spacing w:line="248" w:lineRule="exact"/>
              <w:ind w:left="11"/>
              <w:jc w:val="center"/>
            </w:pPr>
            <w:r>
              <w:t>B</w:t>
            </w:r>
          </w:p>
        </w:tc>
        <w:tc>
          <w:tcPr>
            <w:tcW w:w="2520" w:type="dxa"/>
            <w:shd w:val="clear" w:color="auto" w:fill="A8D08D"/>
          </w:tcPr>
          <w:p w:rsidR="004F0813" w:rsidRDefault="00B41D3E">
            <w:pPr>
              <w:pStyle w:val="TableParagraph"/>
              <w:spacing w:line="248" w:lineRule="exact"/>
              <w:ind w:left="14"/>
              <w:jc w:val="center"/>
            </w:pPr>
            <w:r>
              <w:t>4</w:t>
            </w:r>
          </w:p>
        </w:tc>
      </w:tr>
      <w:tr w:rsidR="004F0813">
        <w:trPr>
          <w:trHeight w:val="268"/>
        </w:trPr>
        <w:tc>
          <w:tcPr>
            <w:tcW w:w="2669" w:type="dxa"/>
            <w:shd w:val="clear" w:color="auto" w:fill="C5DFB3"/>
          </w:tcPr>
          <w:p w:rsidR="004F0813" w:rsidRDefault="00B41D3E">
            <w:pPr>
              <w:pStyle w:val="TableParagraph"/>
              <w:spacing w:line="248" w:lineRule="exact"/>
              <w:ind w:left="440" w:right="431"/>
              <w:jc w:val="center"/>
            </w:pPr>
            <w:r>
              <w:t>5</w:t>
            </w:r>
            <w:r w:rsidR="00D1414C">
              <w:t>0</w:t>
            </w:r>
            <w:r>
              <w:t xml:space="preserve"> ≤ X &lt; 60</w:t>
            </w:r>
          </w:p>
        </w:tc>
        <w:tc>
          <w:tcPr>
            <w:tcW w:w="1730" w:type="dxa"/>
            <w:shd w:val="clear" w:color="auto" w:fill="C5DFB3"/>
          </w:tcPr>
          <w:p w:rsidR="004F0813" w:rsidRDefault="00B41D3E">
            <w:pPr>
              <w:pStyle w:val="TableParagraph"/>
              <w:spacing w:line="248" w:lineRule="exact"/>
              <w:ind w:left="320" w:right="307"/>
              <w:jc w:val="center"/>
            </w:pPr>
            <w:r>
              <w:t>Good</w:t>
            </w:r>
          </w:p>
        </w:tc>
        <w:tc>
          <w:tcPr>
            <w:tcW w:w="2616" w:type="dxa"/>
            <w:shd w:val="clear" w:color="auto" w:fill="C5DFB3"/>
          </w:tcPr>
          <w:p w:rsidR="004F0813" w:rsidRDefault="00B41D3E">
            <w:pPr>
              <w:pStyle w:val="TableParagraph"/>
              <w:spacing w:line="248" w:lineRule="exact"/>
              <w:ind w:left="9"/>
              <w:jc w:val="center"/>
            </w:pPr>
            <w:r>
              <w:t>C</w:t>
            </w:r>
          </w:p>
        </w:tc>
        <w:tc>
          <w:tcPr>
            <w:tcW w:w="2520" w:type="dxa"/>
            <w:shd w:val="clear" w:color="auto" w:fill="C5DFB3"/>
          </w:tcPr>
          <w:p w:rsidR="004F0813" w:rsidRDefault="00B41D3E">
            <w:pPr>
              <w:pStyle w:val="TableParagraph"/>
              <w:spacing w:line="248" w:lineRule="exact"/>
              <w:ind w:left="14"/>
              <w:jc w:val="center"/>
            </w:pPr>
            <w:r>
              <w:t>3</w:t>
            </w:r>
          </w:p>
        </w:tc>
      </w:tr>
      <w:tr w:rsidR="004F0813">
        <w:trPr>
          <w:trHeight w:val="313"/>
        </w:trPr>
        <w:tc>
          <w:tcPr>
            <w:tcW w:w="2669" w:type="dxa"/>
            <w:shd w:val="clear" w:color="auto" w:fill="FF0000"/>
          </w:tcPr>
          <w:p w:rsidR="004F0813" w:rsidRDefault="00B41D3E">
            <w:pPr>
              <w:pStyle w:val="TableParagraph"/>
              <w:spacing w:before="23"/>
              <w:ind w:left="440" w:right="429"/>
              <w:jc w:val="center"/>
            </w:pPr>
            <w:r>
              <w:rPr>
                <w:color w:val="FFFFFF"/>
              </w:rPr>
              <w:t xml:space="preserve">X &lt; </w:t>
            </w:r>
            <w:r w:rsidR="00DF42A7">
              <w:rPr>
                <w:color w:val="FFFFFF"/>
              </w:rPr>
              <w:t>5</w:t>
            </w:r>
            <w:r>
              <w:rPr>
                <w:color w:val="FFFFFF"/>
              </w:rPr>
              <w:t>0</w:t>
            </w:r>
          </w:p>
        </w:tc>
        <w:tc>
          <w:tcPr>
            <w:tcW w:w="1730" w:type="dxa"/>
            <w:shd w:val="clear" w:color="auto" w:fill="FF0000"/>
          </w:tcPr>
          <w:p w:rsidR="004F0813" w:rsidRDefault="00B41D3E">
            <w:pPr>
              <w:pStyle w:val="TableParagraph"/>
              <w:spacing w:before="23"/>
              <w:ind w:left="318" w:right="309"/>
              <w:jc w:val="center"/>
            </w:pPr>
            <w:r>
              <w:rPr>
                <w:color w:val="FFFFFF"/>
              </w:rPr>
              <w:t>Ungraded</w:t>
            </w:r>
          </w:p>
        </w:tc>
        <w:tc>
          <w:tcPr>
            <w:tcW w:w="2616" w:type="dxa"/>
            <w:shd w:val="clear" w:color="auto" w:fill="FF0000"/>
          </w:tcPr>
          <w:p w:rsidR="004F0813" w:rsidRDefault="00B41D3E">
            <w:pPr>
              <w:pStyle w:val="TableParagraph"/>
              <w:spacing w:before="23"/>
              <w:ind w:left="9"/>
              <w:jc w:val="center"/>
            </w:pPr>
            <w:r>
              <w:rPr>
                <w:color w:val="FFFFFF"/>
              </w:rPr>
              <w:t>U</w:t>
            </w:r>
          </w:p>
        </w:tc>
        <w:tc>
          <w:tcPr>
            <w:tcW w:w="2520" w:type="dxa"/>
            <w:shd w:val="clear" w:color="auto" w:fill="FF0000"/>
          </w:tcPr>
          <w:p w:rsidR="004F0813" w:rsidRDefault="00B41D3E">
            <w:pPr>
              <w:pStyle w:val="TableParagraph"/>
              <w:spacing w:before="23"/>
              <w:ind w:left="14"/>
              <w:jc w:val="center"/>
            </w:pPr>
            <w:r>
              <w:rPr>
                <w:color w:val="FFFFFF"/>
              </w:rPr>
              <w:t>0</w:t>
            </w:r>
          </w:p>
        </w:tc>
      </w:tr>
      <w:tr w:rsidR="004F0813">
        <w:trPr>
          <w:trHeight w:val="719"/>
        </w:trPr>
        <w:tc>
          <w:tcPr>
            <w:tcW w:w="2669" w:type="dxa"/>
            <w:shd w:val="clear" w:color="auto" w:fill="FAE3D4"/>
          </w:tcPr>
          <w:p w:rsidR="004F0813" w:rsidRDefault="004F081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F0813" w:rsidRDefault="00B41D3E">
            <w:pPr>
              <w:pStyle w:val="TableParagraph"/>
              <w:ind w:left="440" w:right="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Non-graded/Pending</w:t>
            </w:r>
          </w:p>
        </w:tc>
        <w:tc>
          <w:tcPr>
            <w:tcW w:w="6866" w:type="dxa"/>
            <w:gridSpan w:val="3"/>
            <w:shd w:val="clear" w:color="auto" w:fill="FAE3D4"/>
          </w:tcPr>
          <w:p w:rsidR="004F0813" w:rsidRDefault="001E38D4">
            <w:pPr>
              <w:pStyle w:val="TableParagraph"/>
              <w:spacing w:before="90"/>
              <w:ind w:left="2892" w:right="94" w:hanging="2770"/>
              <w:rPr>
                <w:b/>
              </w:rPr>
            </w:pPr>
            <w:r>
              <w:rPr>
                <w:b/>
              </w:rPr>
              <w:t>As per general rules</w:t>
            </w:r>
            <w:r w:rsidR="00B41D3E">
              <w:rPr>
                <w:b/>
              </w:rPr>
              <w:t xml:space="preserve"> in assessment rules and regulation for pending grades letter codes</w:t>
            </w:r>
          </w:p>
        </w:tc>
      </w:tr>
      <w:tr w:rsidR="004F0813">
        <w:trPr>
          <w:trHeight w:val="5102"/>
        </w:trPr>
        <w:tc>
          <w:tcPr>
            <w:tcW w:w="9535" w:type="dxa"/>
            <w:gridSpan w:val="4"/>
          </w:tcPr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  <w:jc w:val="both"/>
            </w:pPr>
            <w:r>
              <w:t>Students will normally not be allowed to postpone more than one module for the following semester.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ind w:left="107" w:right="92"/>
              <w:jc w:val="both"/>
            </w:pPr>
            <w:r>
              <w:t xml:space="preserve">If a student obtains a grade “U” in three or more modules in the same semesters, and the CPA is below </w:t>
            </w:r>
            <w:r w:rsidR="000B73E4">
              <w:t>5</w:t>
            </w:r>
            <w:r>
              <w:t>0 for that semester, the student will be requested to repeat the semester unless decided otherwise by the</w:t>
            </w:r>
            <w:r>
              <w:rPr>
                <w:spacing w:val="-6"/>
              </w:rPr>
              <w:t xml:space="preserve"> </w:t>
            </w:r>
            <w:r>
              <w:t>Academic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spacing w:val="-5"/>
              </w:rPr>
              <w:t xml:space="preserve"> </w:t>
            </w:r>
            <w:r>
              <w:t>upon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recommendation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Board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Examiners.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repeating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semester, a student may or may not take the modules for which Grade C or above have been</w:t>
            </w:r>
            <w:r>
              <w:rPr>
                <w:spacing w:val="-20"/>
              </w:rPr>
              <w:t xml:space="preserve"> </w:t>
            </w:r>
            <w:r>
              <w:t>obtained.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 w:right="94"/>
              <w:jc w:val="both"/>
            </w:pPr>
            <w:r>
              <w:t xml:space="preserve">If after completing a level the student’s CPA &lt; </w:t>
            </w:r>
            <w:r w:rsidR="00DF42A7">
              <w:t>5</w:t>
            </w:r>
            <w:r>
              <w:t>0, the student will have to repeat the entire academic year and retake the modules as and when offered. However, s/he will not be required, if s/he wishes, to retake 3 module(s) for which Grade C or above has been obtained.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ind w:left="107" w:right="98"/>
              <w:jc w:val="both"/>
            </w:pPr>
            <w:r>
              <w:t xml:space="preserve">Students will not be allowed to repeat more than two semesters during the entire duration of the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 w:right="97"/>
              <w:jc w:val="both"/>
            </w:pPr>
            <w:r>
              <w:t>University general marking criteria for exams and dissertations can be found in the General Rules.</w:t>
            </w:r>
          </w:p>
        </w:tc>
      </w:tr>
    </w:tbl>
    <w:p w:rsidR="004F0813" w:rsidRDefault="004F0813">
      <w:pPr>
        <w:jc w:val="both"/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4F0813">
        <w:trPr>
          <w:trHeight w:val="4442"/>
        </w:trPr>
        <w:tc>
          <w:tcPr>
            <w:tcW w:w="9535" w:type="dxa"/>
          </w:tcPr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Cumulative Point Average (CPA)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ind w:left="107"/>
            </w:pPr>
            <w:r>
              <w:t>Total CPA for Undergraduate degrees is calculated by:</w:t>
            </w:r>
          </w:p>
          <w:p w:rsidR="004F0813" w:rsidRDefault="004F081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76" w:lineRule="auto"/>
              <w:ind w:right="94"/>
              <w:jc w:val="both"/>
            </w:pPr>
            <w:r>
              <w:t>multiplying the module credit by the % marks for the module and then summed up and divided by the total credits attempted over the cumulative period at each level (1 semester or 1 year). AND</w:t>
            </w:r>
          </w:p>
          <w:p w:rsidR="004F0813" w:rsidRDefault="004F081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F0813" w:rsidRDefault="00B41D3E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" w:line="276" w:lineRule="auto"/>
              <w:ind w:right="93"/>
              <w:jc w:val="both"/>
            </w:pPr>
            <w:r>
              <w:t>Taking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weighted</w:t>
            </w:r>
            <w:r>
              <w:rPr>
                <w:spacing w:val="-8"/>
              </w:rPr>
              <w:t xml:space="preserve"> </w:t>
            </w:r>
            <w:r>
              <w:t>average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obtained</w:t>
            </w:r>
            <w:r>
              <w:rPr>
                <w:spacing w:val="-8"/>
              </w:rPr>
              <w:t xml:space="preserve"> </w:t>
            </w:r>
            <w:r>
              <w:t>CPAs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level.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respective</w:t>
            </w:r>
            <w:r>
              <w:rPr>
                <w:spacing w:val="-6"/>
              </w:rPr>
              <w:t xml:space="preserve"> </w:t>
            </w:r>
            <w:r>
              <w:t>weights</w:t>
            </w:r>
            <w:r>
              <w:rPr>
                <w:spacing w:val="-7"/>
              </w:rPr>
              <w:t xml:space="preserve"> </w:t>
            </w:r>
            <w:r>
              <w:t>being</w:t>
            </w:r>
            <w:r>
              <w:rPr>
                <w:spacing w:val="-8"/>
              </w:rPr>
              <w:t xml:space="preserve"> </w:t>
            </w:r>
            <w:r>
              <w:t>set as follow: the CPA of level 5 modules (year 1) will be weighted at 15% (0.15), the CPA of level 6 modules</w:t>
            </w:r>
            <w:r>
              <w:rPr>
                <w:spacing w:val="-1"/>
              </w:rPr>
              <w:t xml:space="preserve"> </w:t>
            </w:r>
            <w:r>
              <w:t>(year</w:t>
            </w:r>
            <w:r>
              <w:rPr>
                <w:spacing w:val="-4"/>
              </w:rPr>
              <w:t xml:space="preserve"> </w:t>
            </w:r>
            <w:r>
              <w:t>2) 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weighted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35%</w:t>
            </w:r>
            <w:r>
              <w:rPr>
                <w:spacing w:val="-3"/>
              </w:rPr>
              <w:t xml:space="preserve"> </w:t>
            </w:r>
            <w:r>
              <w:t>(0.35)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7/8</w:t>
            </w:r>
            <w:r>
              <w:rPr>
                <w:spacing w:val="-3"/>
              </w:rPr>
              <w:t xml:space="preserve"> </w:t>
            </w:r>
            <w:r>
              <w:t>modules</w:t>
            </w:r>
            <w:r>
              <w:rPr>
                <w:spacing w:val="-3"/>
              </w:rPr>
              <w:t xml:space="preserve"> </w:t>
            </w:r>
            <w:r>
              <w:t>(year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and/or</w:t>
            </w:r>
          </w:p>
          <w:p w:rsidR="004F0813" w:rsidRDefault="00B41D3E">
            <w:pPr>
              <w:pStyle w:val="TableParagraph"/>
              <w:ind w:left="827"/>
              <w:jc w:val="both"/>
            </w:pPr>
            <w:r>
              <w:t>4) will be weighted at 50% (0.5)</w:t>
            </w:r>
            <w:r w:rsidR="008846FF">
              <w:t xml:space="preserve"> [As applicable, depending on number of years for the </w:t>
            </w:r>
            <w:proofErr w:type="spellStart"/>
            <w:r w:rsidR="008846FF">
              <w:t>programme</w:t>
            </w:r>
            <w:proofErr w:type="spellEnd"/>
            <w:r w:rsidR="008846FF">
              <w:t>]</w:t>
            </w:r>
            <w:r>
              <w:t>.</w:t>
            </w:r>
          </w:p>
          <w:p w:rsidR="004F0813" w:rsidRDefault="004F081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F0813" w:rsidRDefault="004F0813">
            <w:pPr>
              <w:pStyle w:val="TableParagraph"/>
              <w:ind w:left="107"/>
              <w:rPr>
                <w:b/>
              </w:rPr>
            </w:pPr>
          </w:p>
        </w:tc>
      </w:tr>
    </w:tbl>
    <w:p w:rsidR="004F0813" w:rsidRDefault="004F0813">
      <w:pPr>
        <w:jc w:val="center"/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556"/>
        <w:gridCol w:w="1274"/>
        <w:gridCol w:w="1702"/>
        <w:gridCol w:w="2696"/>
      </w:tblGrid>
      <w:tr w:rsidR="004F0813">
        <w:trPr>
          <w:trHeight w:val="268"/>
        </w:trPr>
        <w:tc>
          <w:tcPr>
            <w:tcW w:w="9495" w:type="dxa"/>
            <w:gridSpan w:val="5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10. PROGRESSION, EXIT POINTS AND AWARD</w:t>
            </w:r>
          </w:p>
        </w:tc>
      </w:tr>
      <w:tr w:rsidR="004F0813">
        <w:trPr>
          <w:trHeight w:val="2147"/>
        </w:trPr>
        <w:tc>
          <w:tcPr>
            <w:tcW w:w="9495" w:type="dxa"/>
            <w:gridSpan w:val="5"/>
          </w:tcPr>
          <w:p w:rsidR="004F0813" w:rsidRDefault="004F081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Classification of Awards</w:t>
            </w:r>
          </w:p>
          <w:p w:rsidR="004F0813" w:rsidRDefault="004F0813">
            <w:pPr>
              <w:pStyle w:val="TableParagraph"/>
              <w:spacing w:before="1"/>
              <w:rPr>
                <w:b/>
              </w:rPr>
            </w:pPr>
          </w:p>
          <w:p w:rsidR="004F0813" w:rsidRDefault="00B41D3E">
            <w:pPr>
              <w:pStyle w:val="TableParagraph"/>
              <w:ind w:left="107"/>
            </w:pPr>
            <w:r>
              <w:t xml:space="preserve">For the award of the </w:t>
            </w:r>
            <w:r w:rsidR="008846FF">
              <w:t>Graduate Diploma</w:t>
            </w:r>
            <w:r>
              <w:t xml:space="preserve">, all modules of the </w:t>
            </w:r>
            <w:proofErr w:type="spellStart"/>
            <w:r>
              <w:t>programme</w:t>
            </w:r>
            <w:proofErr w:type="spellEnd"/>
            <w:r>
              <w:t xml:space="preserve"> must be completed.</w:t>
            </w:r>
          </w:p>
          <w:p w:rsidR="004F0813" w:rsidRDefault="004F081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107"/>
            </w:pPr>
            <w:r>
              <w:t xml:space="preserve">The postgraduate certificate or diploma are awarded as possible exit points in the </w:t>
            </w:r>
            <w:proofErr w:type="spellStart"/>
            <w:r>
              <w:t>programme</w:t>
            </w:r>
            <w:proofErr w:type="spellEnd"/>
            <w:r>
              <w:t xml:space="preserve"> as indicated in the table below:</w:t>
            </w:r>
          </w:p>
        </w:tc>
      </w:tr>
      <w:tr w:rsidR="004F0813">
        <w:trPr>
          <w:trHeight w:val="539"/>
        </w:trPr>
        <w:tc>
          <w:tcPr>
            <w:tcW w:w="1267" w:type="dxa"/>
            <w:shd w:val="clear" w:color="auto" w:fill="F7C9AC"/>
          </w:tcPr>
          <w:p w:rsidR="004F0813" w:rsidRDefault="00B41D3E">
            <w:pPr>
              <w:pStyle w:val="TableParagraph"/>
              <w:spacing w:before="147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2556" w:type="dxa"/>
            <w:shd w:val="clear" w:color="auto" w:fill="F7C9AC"/>
          </w:tcPr>
          <w:p w:rsidR="004F0813" w:rsidRDefault="00B41D3E">
            <w:pPr>
              <w:pStyle w:val="TableParagraph"/>
              <w:spacing w:before="147"/>
              <w:ind w:left="996" w:right="9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274" w:type="dxa"/>
            <w:shd w:val="clear" w:color="auto" w:fill="F7C9AC"/>
          </w:tcPr>
          <w:p w:rsidR="004F0813" w:rsidRDefault="00B41D3E">
            <w:pPr>
              <w:pStyle w:val="TableParagraph"/>
              <w:spacing w:before="25"/>
              <w:ind w:left="254" w:right="245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Level NQ-MQA</w:t>
            </w:r>
          </w:p>
        </w:tc>
        <w:tc>
          <w:tcPr>
            <w:tcW w:w="1702" w:type="dxa"/>
            <w:shd w:val="clear" w:color="auto" w:fill="F7C9AC"/>
          </w:tcPr>
          <w:p w:rsidR="004F0813" w:rsidRDefault="00B41D3E">
            <w:pPr>
              <w:pStyle w:val="TableParagraph"/>
              <w:spacing w:before="25"/>
              <w:ind w:left="560" w:right="231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Total required Credits</w:t>
            </w:r>
          </w:p>
        </w:tc>
        <w:tc>
          <w:tcPr>
            <w:tcW w:w="2696" w:type="dxa"/>
            <w:shd w:val="clear" w:color="auto" w:fill="F7C9AC"/>
          </w:tcPr>
          <w:p w:rsidR="004F0813" w:rsidRDefault="00B41D3E">
            <w:pPr>
              <w:pStyle w:val="TableParagraph"/>
              <w:spacing w:before="147"/>
              <w:ind w:left="495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</w:tr>
      <w:tr w:rsidR="004F0813">
        <w:trPr>
          <w:trHeight w:val="1130"/>
        </w:trPr>
        <w:tc>
          <w:tcPr>
            <w:tcW w:w="1267" w:type="dxa"/>
          </w:tcPr>
          <w:p w:rsidR="004F0813" w:rsidRDefault="004F081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F0813" w:rsidRDefault="00B41D3E">
            <w:pPr>
              <w:pStyle w:val="TableParagraph"/>
              <w:ind w:left="292" w:hanging="41"/>
              <w:rPr>
                <w:sz w:val="20"/>
              </w:rPr>
            </w:pPr>
            <w:r>
              <w:rPr>
                <w:w w:val="95"/>
                <w:sz w:val="20"/>
              </w:rPr>
              <w:t xml:space="preserve">Graduate </w:t>
            </w:r>
            <w:r>
              <w:rPr>
                <w:sz w:val="20"/>
              </w:rPr>
              <w:t>Diploma</w:t>
            </w:r>
          </w:p>
        </w:tc>
        <w:tc>
          <w:tcPr>
            <w:tcW w:w="2556" w:type="dxa"/>
          </w:tcPr>
          <w:p w:rsidR="004F0813" w:rsidRDefault="004F0813">
            <w:pPr>
              <w:pStyle w:val="TableParagraph"/>
              <w:rPr>
                <w:b/>
                <w:sz w:val="20"/>
              </w:rPr>
            </w:pPr>
          </w:p>
          <w:p w:rsidR="004F0813" w:rsidRDefault="004F081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F0813" w:rsidRDefault="00B41D3E">
            <w:pPr>
              <w:pStyle w:val="TableParagraph"/>
              <w:ind w:left="996" w:right="989"/>
              <w:jc w:val="center"/>
              <w:rPr>
                <w:sz w:val="20"/>
              </w:rPr>
            </w:pPr>
            <w:r>
              <w:rPr>
                <w:sz w:val="20"/>
              </w:rPr>
              <w:t>in Financial Crime Compliance</w:t>
            </w:r>
          </w:p>
        </w:tc>
        <w:tc>
          <w:tcPr>
            <w:tcW w:w="1274" w:type="dxa"/>
          </w:tcPr>
          <w:p w:rsidR="004F0813" w:rsidRDefault="004F0813">
            <w:pPr>
              <w:pStyle w:val="TableParagraph"/>
              <w:rPr>
                <w:b/>
                <w:sz w:val="20"/>
              </w:rPr>
            </w:pPr>
          </w:p>
          <w:p w:rsidR="004F0813" w:rsidRDefault="004F081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F0813" w:rsidRDefault="00B41D3E">
            <w:pPr>
              <w:pStyle w:val="TableParagraph"/>
              <w:ind w:left="58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2" w:type="dxa"/>
          </w:tcPr>
          <w:p w:rsidR="004F0813" w:rsidRDefault="004F0813">
            <w:pPr>
              <w:pStyle w:val="TableParagraph"/>
              <w:rPr>
                <w:b/>
                <w:sz w:val="20"/>
              </w:rPr>
            </w:pPr>
          </w:p>
          <w:p w:rsidR="004F0813" w:rsidRDefault="004F0813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F0813" w:rsidRDefault="00B41D3E">
            <w:pPr>
              <w:pStyle w:val="TableParagraph"/>
              <w:ind w:left="678" w:right="66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B460E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2696" w:type="dxa"/>
            <w:tcBorders>
              <w:bottom w:val="nil"/>
            </w:tcBorders>
          </w:tcPr>
          <w:p w:rsidR="004F0813" w:rsidRDefault="004F0813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F0813" w:rsidRDefault="00B41D3E">
            <w:pPr>
              <w:pStyle w:val="TableParagraph"/>
              <w:ind w:left="483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 xml:space="preserve">Distinction: </w:t>
            </w:r>
            <w:r>
              <w:rPr>
                <w:b/>
                <w:sz w:val="20"/>
              </w:rPr>
              <w:t>CPA ≥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70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0813" w:rsidRDefault="00B41D3E"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 xml:space="preserve">Merit: </w:t>
            </w:r>
            <w:r>
              <w:rPr>
                <w:b/>
                <w:sz w:val="20"/>
              </w:rPr>
              <w:t>60 ≤ CPA &lt;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70</w:t>
            </w:r>
          </w:p>
        </w:tc>
      </w:tr>
      <w:tr w:rsidR="004F0813">
        <w:trPr>
          <w:trHeight w:val="345"/>
        </w:trPr>
        <w:tc>
          <w:tcPr>
            <w:tcW w:w="1267" w:type="dxa"/>
            <w:tcBorders>
              <w:bottom w:val="nil"/>
            </w:tcBorders>
          </w:tcPr>
          <w:p w:rsidR="004F0813" w:rsidRDefault="004F08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6" w:type="dxa"/>
            <w:tcBorders>
              <w:bottom w:val="nil"/>
            </w:tcBorders>
          </w:tcPr>
          <w:p w:rsidR="004F0813" w:rsidRDefault="004F08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:rsidR="004F0813" w:rsidRDefault="004F08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4F0813" w:rsidRDefault="004F08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4F0813" w:rsidRDefault="00B41D3E">
            <w:pPr>
              <w:pStyle w:val="TableParagraph"/>
              <w:spacing w:before="102" w:line="223" w:lineRule="exact"/>
              <w:ind w:left="495" w:right="489"/>
              <w:jc w:val="center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 xml:space="preserve">Pass: </w:t>
            </w:r>
            <w:r w:rsidR="00DF42A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 ≤ CPA &lt; 60</w:t>
            </w:r>
          </w:p>
        </w:tc>
      </w:tr>
      <w:tr w:rsidR="004F0813">
        <w:trPr>
          <w:trHeight w:val="753"/>
        </w:trPr>
        <w:tc>
          <w:tcPr>
            <w:tcW w:w="1267" w:type="dxa"/>
            <w:tcBorders>
              <w:top w:val="nil"/>
            </w:tcBorders>
          </w:tcPr>
          <w:p w:rsidR="004F0813" w:rsidRDefault="00B41D3E">
            <w:pPr>
              <w:pStyle w:val="TableParagraph"/>
              <w:spacing w:line="206" w:lineRule="exact"/>
              <w:ind w:left="251"/>
              <w:rPr>
                <w:sz w:val="20"/>
              </w:rPr>
            </w:pPr>
            <w:r>
              <w:rPr>
                <w:sz w:val="20"/>
              </w:rPr>
              <w:t>Graduate</w:t>
            </w:r>
          </w:p>
          <w:p w:rsidR="004F0813" w:rsidRDefault="00B41D3E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Certificate</w:t>
            </w:r>
          </w:p>
        </w:tc>
        <w:tc>
          <w:tcPr>
            <w:tcW w:w="2556" w:type="dxa"/>
            <w:tcBorders>
              <w:top w:val="nil"/>
            </w:tcBorders>
          </w:tcPr>
          <w:p w:rsidR="004F0813" w:rsidRDefault="00B41D3E">
            <w:pPr>
              <w:pStyle w:val="TableParagraph"/>
              <w:spacing w:before="83"/>
              <w:ind w:left="996" w:right="989"/>
              <w:jc w:val="center"/>
              <w:rPr>
                <w:sz w:val="20"/>
              </w:rPr>
            </w:pPr>
            <w:r>
              <w:rPr>
                <w:sz w:val="20"/>
              </w:rPr>
              <w:t>in Financial Crime Compliance</w:t>
            </w:r>
          </w:p>
        </w:tc>
        <w:tc>
          <w:tcPr>
            <w:tcW w:w="1274" w:type="dxa"/>
            <w:tcBorders>
              <w:top w:val="nil"/>
            </w:tcBorders>
          </w:tcPr>
          <w:p w:rsidR="004F0813" w:rsidRDefault="004F0813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F0813" w:rsidRDefault="00B41D3E">
            <w:pPr>
              <w:pStyle w:val="TableParagraph"/>
              <w:spacing w:before="1"/>
              <w:ind w:left="58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2" w:type="dxa"/>
            <w:tcBorders>
              <w:top w:val="nil"/>
            </w:tcBorders>
          </w:tcPr>
          <w:p w:rsidR="004F0813" w:rsidRDefault="004F0813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4F0813" w:rsidRDefault="00B41D3E">
            <w:pPr>
              <w:pStyle w:val="TableParagraph"/>
              <w:spacing w:before="1"/>
              <w:ind w:left="678" w:right="66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96" w:type="dxa"/>
            <w:tcBorders>
              <w:top w:val="nil"/>
            </w:tcBorders>
          </w:tcPr>
          <w:p w:rsidR="004F0813" w:rsidRDefault="004F0813">
            <w:pPr>
              <w:pStyle w:val="TableParagraph"/>
              <w:rPr>
                <w:b/>
                <w:sz w:val="20"/>
              </w:rPr>
            </w:pPr>
          </w:p>
          <w:p w:rsidR="004F0813" w:rsidRDefault="00B41D3E">
            <w:pPr>
              <w:pStyle w:val="TableParagraph"/>
              <w:ind w:left="495" w:right="491"/>
              <w:jc w:val="center"/>
              <w:rPr>
                <w:b/>
                <w:sz w:val="20"/>
              </w:rPr>
            </w:pPr>
            <w:r>
              <w:rPr>
                <w:b/>
                <w:color w:val="2D74B5"/>
                <w:sz w:val="20"/>
              </w:rPr>
              <w:t xml:space="preserve">No Award: </w:t>
            </w:r>
            <w:r>
              <w:rPr>
                <w:b/>
                <w:sz w:val="20"/>
              </w:rPr>
              <w:t xml:space="preserve">CPA &lt; </w:t>
            </w:r>
            <w:r w:rsidR="00DF42A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</w:tc>
      </w:tr>
    </w:tbl>
    <w:p w:rsidR="004F0813" w:rsidRDefault="004F0813">
      <w:pPr>
        <w:spacing w:before="2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4F0813">
        <w:trPr>
          <w:trHeight w:val="268"/>
        </w:trPr>
        <w:tc>
          <w:tcPr>
            <w:tcW w:w="9496" w:type="dxa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11. STUDENT SUPPORT</w:t>
            </w:r>
          </w:p>
        </w:tc>
      </w:tr>
      <w:tr w:rsidR="004F0813">
        <w:trPr>
          <w:trHeight w:val="268"/>
        </w:trPr>
        <w:tc>
          <w:tcPr>
            <w:tcW w:w="9496" w:type="dxa"/>
          </w:tcPr>
          <w:p w:rsidR="004F0813" w:rsidRDefault="00B41D3E">
            <w:pPr>
              <w:pStyle w:val="TableParagraph"/>
              <w:spacing w:line="248" w:lineRule="exact"/>
              <w:ind w:left="107"/>
            </w:pPr>
            <w:r>
              <w:t>Support available through</w:t>
            </w:r>
            <w:r w:rsidR="008846FF">
              <w:t xml:space="preserve"> the website/OU e-learn platform.</w:t>
            </w:r>
          </w:p>
        </w:tc>
      </w:tr>
    </w:tbl>
    <w:p w:rsidR="004F0813" w:rsidRDefault="004F0813">
      <w:pPr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4F0813">
        <w:trPr>
          <w:trHeight w:val="268"/>
        </w:trPr>
        <w:tc>
          <w:tcPr>
            <w:tcW w:w="9496" w:type="dxa"/>
            <w:shd w:val="clear" w:color="auto" w:fill="9CC2E4"/>
          </w:tcPr>
          <w:p w:rsidR="004F0813" w:rsidRDefault="00B41D3E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12. HAVE YOUR SAY</w:t>
            </w:r>
          </w:p>
        </w:tc>
      </w:tr>
      <w:tr w:rsidR="004F0813">
        <w:trPr>
          <w:trHeight w:val="4291"/>
        </w:trPr>
        <w:tc>
          <w:tcPr>
            <w:tcW w:w="9496" w:type="dxa"/>
          </w:tcPr>
          <w:p w:rsidR="004F0813" w:rsidRDefault="00B41D3E">
            <w:pPr>
              <w:pStyle w:val="TableParagraph"/>
              <w:spacing w:before="1"/>
              <w:ind w:left="273" w:hanging="166"/>
              <w:rPr>
                <w:sz w:val="20"/>
              </w:rPr>
            </w:pPr>
            <w:r>
              <w:rPr>
                <w:sz w:val="20"/>
              </w:rPr>
              <w:t>Open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learning experience in the 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way:</w:t>
            </w:r>
          </w:p>
          <w:p w:rsidR="004F0813" w:rsidRDefault="004F081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0813" w:rsidRDefault="00B41D3E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Student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and module evaluation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surveys;</w:t>
            </w:r>
          </w:p>
          <w:p w:rsidR="004F0813" w:rsidRDefault="00B41D3E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9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committees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staff-student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consultative committee;</w:t>
            </w:r>
          </w:p>
          <w:p w:rsidR="004F0813" w:rsidRDefault="00B41D3E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Participate in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validation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processes.</w:t>
            </w:r>
          </w:p>
          <w:p w:rsidR="004F0813" w:rsidRDefault="004F081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0813" w:rsidRDefault="00B41D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The University will respond to student feedback through the following channels:</w:t>
            </w:r>
          </w:p>
          <w:p w:rsidR="004F0813" w:rsidRDefault="004F081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F0813" w:rsidRDefault="00B41D3E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55" w:lineRule="exact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Response and action taken following the module evaluation survey will be posted on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e-platform;</w:t>
            </w:r>
          </w:p>
          <w:p w:rsidR="004F0813" w:rsidRDefault="00B41D3E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254" w:lineRule="exact"/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Action from minutes will be monitored by the chair of the relevant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committees;</w:t>
            </w:r>
          </w:p>
          <w:p w:rsidR="004F0813" w:rsidRDefault="00B41D3E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hanging="1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An annual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monitoring process will </w:t>
            </w:r>
            <w:proofErr w:type="gramStart"/>
            <w:r>
              <w:rPr>
                <w:sz w:val="20"/>
              </w:rPr>
              <w:t>take into account</w:t>
            </w:r>
            <w:proofErr w:type="gramEnd"/>
            <w:r>
              <w:rPr>
                <w:sz w:val="20"/>
              </w:rPr>
              <w:t xml:space="preserve"> 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feedback;</w:t>
            </w:r>
          </w:p>
          <w:p w:rsidR="004F0813" w:rsidRDefault="00B41D3E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before="1"/>
              <w:ind w:hanging="167"/>
              <w:rPr>
                <w:rFonts w:ascii="Symbol" w:hAnsi="Symbol"/>
              </w:rPr>
            </w:pP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review process (every five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years).</w:t>
            </w:r>
          </w:p>
        </w:tc>
      </w:tr>
    </w:tbl>
    <w:p w:rsidR="004F0813" w:rsidRDefault="004F0813">
      <w:pPr>
        <w:rPr>
          <w:rFonts w:ascii="Symbol" w:hAnsi="Symbol"/>
        </w:rPr>
        <w:sectPr w:rsidR="004F0813">
          <w:pgSz w:w="12240" w:h="15840"/>
          <w:pgMar w:top="780" w:right="114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4F0813">
        <w:trPr>
          <w:trHeight w:val="633"/>
        </w:trPr>
        <w:tc>
          <w:tcPr>
            <w:tcW w:w="9496" w:type="dxa"/>
            <w:shd w:val="clear" w:color="auto" w:fill="9CC2E4"/>
          </w:tcPr>
          <w:p w:rsidR="004F0813" w:rsidRPr="008B0415" w:rsidRDefault="00B41D3E">
            <w:pPr>
              <w:pStyle w:val="TableParagraph"/>
              <w:spacing w:before="181"/>
              <w:ind w:left="467"/>
              <w:rPr>
                <w:b/>
                <w:sz w:val="40"/>
                <w:szCs w:val="40"/>
              </w:rPr>
            </w:pPr>
            <w:r w:rsidRPr="008B0415">
              <w:rPr>
                <w:b/>
                <w:sz w:val="40"/>
                <w:szCs w:val="40"/>
              </w:rPr>
              <w:lastRenderedPageBreak/>
              <w:t>13. Module Outlines and Assessment Structure</w:t>
            </w:r>
          </w:p>
        </w:tc>
      </w:tr>
    </w:tbl>
    <w:p w:rsidR="004F0813" w:rsidRDefault="004F0813">
      <w:pPr>
        <w:spacing w:before="3"/>
        <w:rPr>
          <w:b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rPr>
          <w:rFonts w:ascii="Segoe UI" w:eastAsia="Segoe UI" w:hAnsi="Segoe UI" w:cs="Times New Roman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Module 1: The Legal and Regulatory Environment</w:t>
      </w: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  <w:sz w:val="24"/>
          <w:szCs w:val="24"/>
        </w:rPr>
      </w:pPr>
      <w:r w:rsidRPr="008846FF">
        <w:rPr>
          <w:rFonts w:ascii="Segoe UI" w:eastAsia="Segoe UI" w:hAnsi="Segoe UI" w:cs="Times New Roman"/>
          <w:b/>
          <w:bCs/>
          <w:color w:val="2B579A"/>
          <w:sz w:val="24"/>
          <w:szCs w:val="24"/>
        </w:rPr>
        <w:t>Unit 1: Introduction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Financial Services Sector (Banking, Insurance &amp; DNFBPs)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relevant legislations (FIAMLA &amp; other relevant statutes)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role of Regulators and FIUs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ind w:left="720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  <w:sz w:val="24"/>
          <w:szCs w:val="24"/>
        </w:rPr>
      </w:pPr>
      <w:r w:rsidRPr="008846FF">
        <w:rPr>
          <w:rFonts w:ascii="Segoe UI" w:eastAsia="Segoe UI" w:hAnsi="Segoe UI" w:cs="Times New Roman"/>
          <w:b/>
          <w:bCs/>
          <w:color w:val="2B579A"/>
          <w:sz w:val="24"/>
          <w:szCs w:val="24"/>
        </w:rPr>
        <w:t xml:space="preserve">Unit 2: What are the Money Laundering stages, Terrorist Financing and Sanctions Risks that must be Managed?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What is money laundering &amp; terrorist financing? How is terrorism financed?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Financial and economic sanctions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What role can the financial sector play to combat?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How is money laundered?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 modern assessment of money laundering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money laundering offences</w:t>
      </w:r>
    </w:p>
    <w:p w:rsidR="008846FF" w:rsidRPr="008846FF" w:rsidRDefault="008846FF" w:rsidP="008846FF">
      <w:pPr>
        <w:widowControl/>
        <w:autoSpaceDE/>
        <w:autoSpaceDN/>
        <w:spacing w:before="160" w:after="160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3: The International Bodies and Standard Setters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role of the international bodies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Key international organisations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Financial Action Task Force &amp; ESAAMLG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International Monetary Fund, United Nations Global Programme against Money Laundering, The World Bank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Basel Committee on Banking Supervision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European Commission and Council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Egmont Group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</w:t>
      </w: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Wolfsberg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 Group</w:t>
      </w:r>
    </w:p>
    <w:p w:rsidR="008846FF" w:rsidRPr="008846FF" w:rsidRDefault="008846FF" w:rsidP="008846FF">
      <w:pPr>
        <w:widowControl/>
        <w:autoSpaceDE/>
        <w:autoSpaceDN/>
        <w:spacing w:before="160" w:after="160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4: National Legal and Regulatory Frameworks</w:t>
      </w:r>
    </w:p>
    <w:p w:rsidR="008846FF" w:rsidRPr="008846FF" w:rsidRDefault="008846FF" w:rsidP="008846FF">
      <w:pPr>
        <w:widowControl/>
        <w:autoSpaceDE/>
        <w:autoSpaceDN/>
        <w:spacing w:before="160" w:after="160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noProof/>
        </w:rPr>
        <w:lastRenderedPageBreak/>
        <w:drawing>
          <wp:inline distT="0" distB="0" distL="0" distR="0" wp14:anchorId="10F7AFF6" wp14:editId="09261AB5">
            <wp:extent cx="5732145" cy="1388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Understand what constitutes money laundering is and the stages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terrorism financing and how the stages may defer from that of money laundering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Learn from a range of terrorism cases and observe how they financed their activities resulting in the loss of lives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An understanding of the effect of sanctions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 conversant with what is meant by proliferation finance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the roles of the FATF, IMF, UN and World Bank, Basel Committee, the European Commission, the Egmont Group and the </w:t>
      </w: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Wolfsberg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 Group, which play in providing guidance in combatting ML/TF/PF. (Standard setting)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Understand how FATF mutual evaluations of countries against the international standards are conducted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the statutory obligations in respect of ML/TF/PF and the comparative analysis with Mauritian and the legislation of other jurisdictions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Appreciate the differences between primary and secondary legislation and the various kinds of guidance published in major financial centres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Appreciate the impact that US legislation such as the Foreign Corrupt Practices Act and FATCA 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2 in-class tests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highlight w:val="yellow"/>
          <w:lang w:val="en-GB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Module 2: The Business Risk Assessment &amp; Mitigation</w:t>
      </w:r>
      <w:bookmarkStart w:id="0" w:name="_Hlk90297314"/>
    </w:p>
    <w:bookmarkEnd w:id="0"/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  <w:sz w:val="24"/>
          <w:szCs w:val="24"/>
        </w:rPr>
      </w:pPr>
      <w:r w:rsidRPr="008846FF">
        <w:rPr>
          <w:rFonts w:ascii="Segoe UI" w:eastAsia="Segoe UI" w:hAnsi="Segoe UI" w:cs="Times New Roman"/>
          <w:b/>
          <w:bCs/>
          <w:color w:val="2B579A"/>
          <w:sz w:val="24"/>
          <w:szCs w:val="24"/>
        </w:rPr>
        <w:t>Unit 1: Preparing a Business Risk Assessment (BRA)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nature, scale and complexity of activities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products and services provided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persons to whom and the manner in which the products and services are provided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nature, scale, complexity and location of the customer’s activities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lastRenderedPageBreak/>
        <w:t xml:space="preserve">Reliance on third parties for customer due diligence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Technological developments.</w:t>
      </w:r>
    </w:p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 xml:space="preserve">Unit 2: Managing Client Risk - Customer Due Diligence (CDD)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What is CDD?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basic International and domestic standard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Who is the customer and what is meant by the identification of beneficial owners?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risk-based approach to CDD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requirements of the local &amp; international standards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Risk-based CDD requirements for existing customers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Lower risk situations and simplified due diligence? (consistent with NRA)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Higher-risk situations and enhanced due diligence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Mandatory high-risk customers: PEPs, Mandatory high-risk relationships (NRA): correspondent banking in certain jurisdictions, individuals from certain countries.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Unacceptable relationships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Identifying and verifying identity &amp; Who must be identified and why?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Electronic verification of identity Identifying and verifying the identity of corporate entities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Beneficial ownership and complex structures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Relying on third parties and accepting introduced business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challenges to be overcome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Testing the CDD process (Internal independent audit)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Taking an AML/CFT Risk-Based Approach and Managing the Risks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Understanding the customer (UYC)</w:t>
      </w:r>
    </w:p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3: Geographic Risk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FATF List of High-Risk Jurisdictions subject to a Call for Action, Jurisdictions under Increased Monitoring.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EU list of high-risk third countries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lastRenderedPageBreak/>
        <w:t xml:space="preserve">The UN Sanction Lists </w:t>
      </w: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4: Product/Service Risk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International Standard Industrial Classification of All Economic Activities (ISIC)/NRA/ FATF tagged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Retail banking services, Private banking, Correspondent banking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Lending and credit including mortgage lending, Credit/charge cards and stored-value cards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International trade and trade finance Letters of credit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Foreign exchange and money transfer services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Money services businesses including alternative remittance systems MVTs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Trust and corporate service providers (GBCs, ACs, Funds)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Insurance: Life insurance &amp; General insurance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gambling </w:t>
      </w:r>
      <w:proofErr w:type="gram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sector</w:t>
      </w:r>
      <w:proofErr w:type="gramEnd"/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Internet payment sector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Risk factors within internet service providers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Digital virtual currencies</w:t>
      </w:r>
    </w:p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5: Policies, Procedures &amp; Controls: “The AML Manual”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Guidance on drawing up a Manual which details the Reporting Person’s policies, procedures &amp; controls and risk appetite in respect of: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Corporate Governance – in Financial Crime Compliance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proofErr w:type="spellStart"/>
      <w:r w:rsidRPr="008846FF">
        <w:rPr>
          <w:rFonts w:ascii="Franklin Gothic Book" w:eastAsia="Segoe UI" w:hAnsi="Franklin Gothic Book" w:cs="Times New Roman"/>
          <w:sz w:val="20"/>
          <w:szCs w:val="20"/>
        </w:rPr>
        <w:t>Organisation</w:t>
      </w:r>
      <w:proofErr w:type="spellEnd"/>
      <w:r w:rsidRPr="008846FF">
        <w:rPr>
          <w:rFonts w:ascii="Franklin Gothic Book" w:eastAsia="Segoe UI" w:hAnsi="Franklin Gothic Book" w:cs="Times New Roman"/>
          <w:sz w:val="20"/>
          <w:szCs w:val="20"/>
        </w:rPr>
        <w:t xml:space="preserve"> Structure to Combat Financial Crime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Risk Based Approach &amp; Assessment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Quality of Oversight: Assurance Testing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Customer Due Diligence (CDD) Checks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Enhanced Due Diligence (EDD)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Ongoing Monitoring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The Money Laundering Reporting Officer (MLRO) and Compliance Officer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proofErr w:type="spellStart"/>
      <w:r w:rsidRPr="008846FF">
        <w:rPr>
          <w:rFonts w:ascii="Franklin Gothic Book" w:eastAsia="Segoe UI" w:hAnsi="Franklin Gothic Book" w:cs="Times New Roman"/>
          <w:sz w:val="20"/>
          <w:szCs w:val="20"/>
        </w:rPr>
        <w:t>Recognising</w:t>
      </w:r>
      <w:proofErr w:type="spellEnd"/>
      <w:r w:rsidRPr="008846FF">
        <w:rPr>
          <w:rFonts w:ascii="Franklin Gothic Book" w:eastAsia="Segoe UI" w:hAnsi="Franklin Gothic Book" w:cs="Times New Roman"/>
          <w:sz w:val="20"/>
          <w:szCs w:val="20"/>
        </w:rPr>
        <w:t xml:space="preserve"> and filing STRs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Liaison with Law Enforcement FIU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0"/>
          <w:szCs w:val="20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Record Keeping and Reliance on Others</w:t>
      </w:r>
    </w:p>
    <w:p w:rsidR="008846FF" w:rsidRPr="008846FF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18"/>
          <w:szCs w:val="18"/>
        </w:rPr>
      </w:pPr>
      <w:r w:rsidRPr="008846FF">
        <w:rPr>
          <w:rFonts w:ascii="Franklin Gothic Book" w:eastAsia="Segoe UI" w:hAnsi="Franklin Gothic Book" w:cs="Times New Roman"/>
          <w:sz w:val="20"/>
          <w:szCs w:val="20"/>
        </w:rPr>
        <w:t>Staff Recruitment, Vetting, Training, Awareness and Remuneration</w:t>
      </w:r>
    </w:p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the preparation of a Business Risk Assessment as it applies to banks and DNFBPs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lastRenderedPageBreak/>
        <w:t xml:space="preserve">Understand how a risk-based approach is implemented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the practical application of a risk-based approach to CDD, including assessment of high-risk and low-risk situations for both new and existing customers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Have a comprehensive understanding of why enhanced due diligence is necessary for high-risk clients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various forms of IDs and how to verify e.g. MRZ codes of passports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 conversant with how to deal with opaque corporate structures and the need to drill to establish the UBOs and be familiar with Recommendation 24 of FATF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Understand the risks relating to companies owning companies in an attempt to conceal beneficial ownerships in the layering stage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 conversant with how to draw up the reporting person’s Manual which will set out the controls and procedures that should be applied in each of the areas mentioned above.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ind w:left="360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Written Assignment on the preparation of a Reporting Person’s Business Risk Assessment</w:t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 xml:space="preserve">Module 3: </w:t>
      </w:r>
      <w:bookmarkStart w:id="1" w:name="_Hlk90297382"/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 xml:space="preserve">Ongoing Monitoring </w:t>
      </w:r>
    </w:p>
    <w:bookmarkEnd w:id="1"/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1: Monitoring Activity and Transactions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‘Ongoing CDD’ and monitoring relationships, Following the Customer (FYC)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File Reviews (consistency with business plan)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Bank Reconciliation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Trigger event monitoring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developing standards for monitoring transactions and activity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Customer profiling and using CDD information for monitoring purposes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Transaction records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Monitoring processes adding value to the AML/CFT regime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Risk-based transaction monitoring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Automated transaction monitoring and its ongoing calibration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Wire transfer requirements of the International Standards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EU Wire Transfer Regulation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Sanctions lists and screening</w:t>
      </w:r>
    </w:p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2:</w:t>
      </w:r>
      <w:r w:rsidRPr="008846FF">
        <w:rPr>
          <w:rFonts w:ascii="Segoe UI" w:eastAsia="Segoe UI" w:hAnsi="Segoe UI" w:cs="Times New Roman"/>
        </w:rPr>
        <w:t xml:space="preserve">  </w:t>
      </w:r>
      <w:r w:rsidRPr="008846FF">
        <w:rPr>
          <w:rFonts w:ascii="Segoe UI" w:eastAsia="Segoe UI" w:hAnsi="Segoe UI" w:cs="Times New Roman"/>
          <w:b/>
          <w:bCs/>
          <w:color w:val="2B579A"/>
        </w:rPr>
        <w:t>Employee Screening and Training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Initial &amp; ongoing screening of first, second and third lines of defence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lastRenderedPageBreak/>
        <w:t>Batch screening, 24/7 screening, Open-Source Screening (e.g. Google searches, Facebook, LinkedIn)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Bespoke Assessed Training (legal &amp; regulatory requirements, CPD, </w:t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the need for ongoing monitoring as set out in Rec 10 FATF.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Understand how to use CDD information to determine frequency of file reviews, bank reconciliation and transaction monitoring as part of the monitoring process and when to conduct scrutiny and re-rate clients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familiar with the advantages and disadvantages of automated transaction monitoring systems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the requirements in respect of cross-border money transfers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 conversant with sanctions screening and how to deal with the client or representative (administrator)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 conversant with matters to be taking into consideration when escalating or exiting relationships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 conversant with the role employees play in terms of effectiveness when it comes to combatting ML/TF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importance of bespoke training and assessment to ensure knowledge transfer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importance of ongoing screening similar to that of CDD. Know Your Employee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1 in-class test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Franklin Gothic Book" w:eastAsia="MS Gothic" w:hAnsi="Franklin Gothic Book" w:cs="Times New Roman"/>
          <w:color w:val="1F4D78"/>
          <w:spacing w:val="15"/>
          <w:sz w:val="24"/>
          <w:szCs w:val="24"/>
          <w:highlight w:val="yellow"/>
          <w:lang w:val="en-GB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Module 4: The Risk Matrix: “A Risk-Sensitive way of gathering CDD Information”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Designing an excel matrix with a risk-sensitive way of profiling clients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Appropriate weighting (calibration &amp; recalibration)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When can scores be overridden?</w:t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how to create an excel risk matrix and to calibrate in a risk sensitive matter when gathering CDD information 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  </w:t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 xml:space="preserve">Assessment: </w:t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</w:p>
    <w:p w:rsidR="008846FF" w:rsidRPr="008846FF" w:rsidRDefault="008846FF" w:rsidP="008846FF">
      <w:pPr>
        <w:widowControl/>
        <w:numPr>
          <w:ilvl w:val="0"/>
          <w:numId w:val="27"/>
        </w:numPr>
        <w:autoSpaceDE/>
        <w:autoSpaceDN/>
        <w:spacing w:before="160" w:line="259" w:lineRule="auto"/>
        <w:contextualSpacing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lastRenderedPageBreak/>
        <w:t xml:space="preserve">Design a Risk Matrix using Excel with appropriate calibration for respective </w:t>
      </w:r>
      <w:proofErr w:type="spellStart"/>
      <w:r w:rsidRPr="008846FF">
        <w:rPr>
          <w:rFonts w:ascii="Segoe UI" w:eastAsia="Segoe UI" w:hAnsi="Segoe UI" w:cs="Times New Roman"/>
          <w:b/>
          <w:iCs/>
          <w:color w:val="92D050"/>
        </w:rPr>
        <w:t>organisations</w:t>
      </w:r>
      <w:proofErr w:type="spellEnd"/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 xml:space="preserve">Module 5: </w:t>
      </w:r>
      <w:bookmarkStart w:id="2" w:name="_Hlk90297433"/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Corporate Governance</w:t>
      </w:r>
    </w:p>
    <w:bookmarkEnd w:id="2"/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1:</w:t>
      </w:r>
      <w:r w:rsidRPr="008846FF">
        <w:rPr>
          <w:rFonts w:ascii="Segoe UI" w:eastAsia="Segoe UI" w:hAnsi="Segoe UI" w:cs="Times New Roman"/>
        </w:rPr>
        <w:t xml:space="preserve"> </w:t>
      </w:r>
      <w:r w:rsidRPr="008846FF">
        <w:rPr>
          <w:rFonts w:ascii="Segoe UI" w:eastAsia="Segoe UI" w:hAnsi="Segoe UI" w:cs="Times New Roman"/>
          <w:b/>
          <w:bCs/>
          <w:color w:val="2B579A"/>
        </w:rPr>
        <w:t>Role &amp; Duties of Board &amp; Senior Management in inculcating a culture of Compliance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role of the board and senior management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role of the money laundering reporting officer (appointment to be approved by regulator &amp; Board, registration on </w:t>
      </w: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GoAML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, identification of trends, reports to the Board)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Compliance Officer (appointment to be approved by Regulator &amp; Board, drawing up of the BRA, AML/CFT/PF Manual, file reviews, transaction monitoring, training, remedying highlighted regulatory &amp; audit deficiencies, reports to the Board) </w:t>
      </w:r>
    </w:p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Segoe UI" w:eastAsia="Segoe UI" w:hAnsi="Segoe UI" w:cs="Times New Roman"/>
          <w:b/>
          <w:bCs/>
          <w:color w:val="2B579A"/>
        </w:rPr>
      </w:pPr>
      <w:r w:rsidRPr="008846FF">
        <w:rPr>
          <w:rFonts w:ascii="Segoe UI" w:eastAsia="Segoe UI" w:hAnsi="Segoe UI" w:cs="Times New Roman"/>
          <w:b/>
          <w:bCs/>
          <w:color w:val="2B579A"/>
        </w:rPr>
        <w:t>Unit 2:</w:t>
      </w:r>
      <w:r w:rsidRPr="008846FF">
        <w:rPr>
          <w:rFonts w:ascii="Segoe UI" w:eastAsia="Segoe UI" w:hAnsi="Segoe UI" w:cs="Times New Roman"/>
        </w:rPr>
        <w:t xml:space="preserve"> </w:t>
      </w:r>
      <w:r w:rsidRPr="008846FF">
        <w:rPr>
          <w:rFonts w:ascii="Segoe UI" w:eastAsia="Segoe UI" w:hAnsi="Segoe UI" w:cs="Times New Roman"/>
          <w:b/>
          <w:bCs/>
          <w:color w:val="2B579A"/>
        </w:rPr>
        <w:t>Communication for MLROs &amp; Compliance Officers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Essentials of writing reports to the Board and communicating in a digital era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Art of Oral Communication (prosody, timbre, pitch)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Balancing the need for business development and compliance </w:t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the role the Board and senior management plays in implementing a strategy and inculcating a culture of compliance that appropriately combats ML/TF/PF. Accountability will always be a pillar of good governance.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 fully conversant with the role and duties of the CO and MLRO and list of skills required to discharge their duties with due skill and care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>To understand the role effective communication plays in allowing informed decisions to be taken when writing reports to the Board (accuracy and brevity).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>To understand the importance of being able to articulate in a succinct manner when compliance is presiding over workshops re the reporting person’s policies and controls.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Oral Presentation &amp; 1 in-class test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 xml:space="preserve">Module 6: </w:t>
      </w:r>
      <w:proofErr w:type="spellStart"/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Recognising</w:t>
      </w:r>
      <w:proofErr w:type="spellEnd"/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 xml:space="preserve"> and Filing Suspicious Transactions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international requirements (Resolution 2462, UNSC, Palermo Convention)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What is meant by suspicion and reasonable grounds to suspect?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Reasonable grounds to suspect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lastRenderedPageBreak/>
        <w:t xml:space="preserve">The subjective test of suspicion &amp; The objective test of suspicion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What constitutes suspicious activity?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 list of inexhaustible red flags as it affects the banking &amp; DNFBP sectors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The STR process and its documentation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Avoiding tipping off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Balancing the needs of law enforcement with breach of customer confidentiality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interface with data protection requirements</w:t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BF0000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 conversant with what is meant by suspicion (intuition, imagination, unusual, unjustified), and be familiar with the subjective and objective tests. However, low evidence thresholds will apply.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a list of red flags as they apply to various sectors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aware of how to complete a high quality STR form and to maintain an external &amp; internal register of STRs 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Be conversant with what constitutes tipping off (FATF Rec 18 &amp; 21) 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Case Study Assignments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Module 7: The Independent Audit</w:t>
      </w:r>
      <w:bookmarkStart w:id="3" w:name="_Hlk90297474"/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 xml:space="preserve"> &amp; Passing the Risk Based Supervision Test (RBS)</w:t>
      </w:r>
    </w:p>
    <w:bookmarkEnd w:id="3"/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Segoe UI" w:eastAsia="Segoe UI" w:hAnsi="Segoe UI" w:cs="Times New Roman"/>
          <w:b/>
          <w:bCs/>
          <w:iCs/>
          <w:color w:val="2B579A"/>
        </w:rPr>
        <w:t>Unit 1:</w:t>
      </w:r>
      <w:r w:rsidRPr="008846FF">
        <w:rPr>
          <w:rFonts w:ascii="Segoe UI" w:eastAsia="Segoe UI" w:hAnsi="Segoe UI" w:cs="Times New Roman"/>
        </w:rPr>
        <w:t xml:space="preserve"> </w:t>
      </w:r>
      <w:r w:rsidRPr="008846FF">
        <w:rPr>
          <w:rFonts w:ascii="Segoe UI" w:eastAsia="Segoe UI" w:hAnsi="Segoe UI" w:cs="Times New Roman"/>
          <w:b/>
          <w:bCs/>
          <w:iCs/>
          <w:color w:val="2B579A"/>
        </w:rPr>
        <w:t>The Independent Audit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 detailed look at the Assurance Testing function as set out in Recommendation 22 (1) (d) FIAMLR 2018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Scope of Audit and determination of sample size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Choosing the Audit Professional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Assessment of the Independence of the Auditor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Frequency of audit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Key components of the Audit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Audit Report and recommendations</w:t>
      </w:r>
    </w:p>
    <w:p w:rsidR="008846FF" w:rsidRPr="008846FF" w:rsidRDefault="008846FF" w:rsidP="008846FF">
      <w:pPr>
        <w:widowControl/>
        <w:autoSpaceDE/>
        <w:autoSpaceDN/>
        <w:spacing w:after="160" w:line="259" w:lineRule="auto"/>
        <w:jc w:val="both"/>
        <w:rPr>
          <w:rFonts w:ascii="Segoe UI" w:eastAsia="Segoe UI" w:hAnsi="Segoe UI" w:cs="Times New Roman"/>
          <w:b/>
          <w:bCs/>
          <w:iCs/>
          <w:color w:val="2B579A"/>
        </w:rPr>
      </w:pPr>
      <w:r w:rsidRPr="008846FF">
        <w:rPr>
          <w:rFonts w:ascii="Segoe UI" w:eastAsia="Segoe UI" w:hAnsi="Segoe UI" w:cs="Times New Roman"/>
          <w:b/>
          <w:bCs/>
          <w:iCs/>
          <w:color w:val="2B579A"/>
        </w:rPr>
        <w:t>Unit 2: International Best Practice &amp; Passing the Risk Based Supervision Test (RBS)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Detailed analysis of international best practice and components to be verified when being subject to a risk-based supervision inspection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lastRenderedPageBreak/>
        <w:t>Corporate Governance – in Financial Crime Compliance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proofErr w:type="spellStart"/>
      <w:r w:rsidRPr="008B0415">
        <w:rPr>
          <w:rFonts w:ascii="Franklin Gothic Book" w:eastAsia="Segoe UI" w:hAnsi="Franklin Gothic Book" w:cs="Times New Roman"/>
          <w:sz w:val="24"/>
          <w:szCs w:val="24"/>
        </w:rPr>
        <w:t>Organisation</w:t>
      </w:r>
      <w:proofErr w:type="spellEnd"/>
      <w:r w:rsidRPr="008B0415">
        <w:rPr>
          <w:rFonts w:ascii="Franklin Gothic Book" w:eastAsia="Segoe UI" w:hAnsi="Franklin Gothic Book" w:cs="Times New Roman"/>
          <w:sz w:val="24"/>
          <w:szCs w:val="24"/>
        </w:rPr>
        <w:t xml:space="preserve"> Structure to Combat Financial Crime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Risk Based Approach &amp; Assessment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Policies, Procedures &amp; Controls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Quality of Oversight: Assurance Testing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Customer Due Diligence (CDD) Checks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Enhanced Due Diligence (EDD)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Ongoing Monitoring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The Money Laundering Reporting Officer (MLRO) and Compliance Officer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proofErr w:type="spellStart"/>
      <w:r w:rsidRPr="008B0415">
        <w:rPr>
          <w:rFonts w:ascii="Franklin Gothic Book" w:eastAsia="Segoe UI" w:hAnsi="Franklin Gothic Book" w:cs="Times New Roman"/>
          <w:sz w:val="24"/>
          <w:szCs w:val="24"/>
        </w:rPr>
        <w:t>Recognising</w:t>
      </w:r>
      <w:proofErr w:type="spellEnd"/>
      <w:r w:rsidRPr="008B0415">
        <w:rPr>
          <w:rFonts w:ascii="Franklin Gothic Book" w:eastAsia="Segoe UI" w:hAnsi="Franklin Gothic Book" w:cs="Times New Roman"/>
          <w:sz w:val="24"/>
          <w:szCs w:val="24"/>
        </w:rPr>
        <w:t xml:space="preserve"> and filing STRs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Liaison with Law Enforcement FIU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Record Keeping and Reliance on Others</w:t>
      </w:r>
    </w:p>
    <w:p w:rsidR="008846FF" w:rsidRPr="008B0415" w:rsidRDefault="008846FF" w:rsidP="008846FF">
      <w:pPr>
        <w:widowControl/>
        <w:numPr>
          <w:ilvl w:val="1"/>
          <w:numId w:val="25"/>
        </w:numPr>
        <w:autoSpaceDE/>
        <w:autoSpaceDN/>
        <w:spacing w:before="160" w:line="259" w:lineRule="auto"/>
        <w:contextualSpacing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B0415">
        <w:rPr>
          <w:rFonts w:ascii="Franklin Gothic Book" w:eastAsia="Segoe UI" w:hAnsi="Franklin Gothic Book" w:cs="Times New Roman"/>
          <w:sz w:val="24"/>
          <w:szCs w:val="24"/>
        </w:rPr>
        <w:t>Staff Recruitment, Vetting, Training, Awareness and Remuneration</w:t>
      </w:r>
    </w:p>
    <w:p w:rsidR="008846FF" w:rsidRPr="008846FF" w:rsidRDefault="008846FF" w:rsidP="008846FF">
      <w:pPr>
        <w:widowControl/>
        <w:autoSpaceDE/>
        <w:autoSpaceDN/>
        <w:spacing w:before="160" w:line="259" w:lineRule="auto"/>
        <w:rPr>
          <w:rFonts w:ascii="Segoe UI" w:eastAsia="Segoe UI" w:hAnsi="Segoe UI" w:cs="Times New Roman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Be fully conversant with how an independent audit should be conducted including amongst other things sample size, what should be checked, the Audit report, and how to risk rate deficiencies. 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Be conversant with what constitutes good practice in an international context and the policies, procedures and controls that must be in place to pass the risk-based supervision test. </w:t>
      </w: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2 in-class tests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Module 8: Case Based Approach for MLROs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1 Malaysia Development </w:t>
      </w: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Berhad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 (1MDB)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Beaufort Securities Ltd (UK)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Credit Suisse Tuna Bonds of Mozambique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Deutsche Bank, EY and </w:t>
      </w: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Kaloti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 Precious Metals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fr-FR"/>
        </w:rPr>
      </w:pP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fr-FR"/>
        </w:rPr>
        <w:t>Cubentol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fr-FR"/>
        </w:rPr>
        <w:t xml:space="preserve"> Commerciaux Ltd. </w:t>
      </w:r>
      <w:proofErr w:type="gramStart"/>
      <w:r w:rsidRPr="008846FF">
        <w:rPr>
          <w:rFonts w:ascii="Franklin Gothic Book" w:eastAsia="Segoe UI" w:hAnsi="Franklin Gothic Book" w:cs="Times New Roman"/>
          <w:sz w:val="24"/>
          <w:szCs w:val="24"/>
          <w:lang w:val="fr-FR"/>
        </w:rPr>
        <w:t>v</w:t>
      </w:r>
      <w:proofErr w:type="gramEnd"/>
      <w:r w:rsidRPr="008846FF">
        <w:rPr>
          <w:rFonts w:ascii="Franklin Gothic Book" w:eastAsia="Segoe UI" w:hAnsi="Franklin Gothic Book" w:cs="Times New Roman"/>
          <w:sz w:val="24"/>
          <w:szCs w:val="24"/>
          <w:lang w:val="fr-FR"/>
        </w:rPr>
        <w:t xml:space="preserve"> HSBC LTD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Anders Breivik (Terrorism)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Brenton Tarrant &amp; Martin </w:t>
      </w: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Sellner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 (Terrorism)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Enforcement involving the FSC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FIU &amp; Egmont Group Case Studies</w:t>
      </w:r>
    </w:p>
    <w:p w:rsidR="008846FF" w:rsidRPr="008846FF" w:rsidRDefault="008846FF" w:rsidP="008846FF">
      <w:pPr>
        <w:widowControl/>
        <w:autoSpaceDE/>
        <w:autoSpaceDN/>
        <w:spacing w:before="160" w:line="259" w:lineRule="auto"/>
        <w:rPr>
          <w:rFonts w:ascii="Segoe UI" w:eastAsia="Segoe UI" w:hAnsi="Segoe UI" w:cs="Times New Roman"/>
          <w:b/>
          <w:iCs/>
          <w:color w:val="BF0000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rPr>
          <w:rFonts w:ascii="Segoe UI" w:eastAsia="Segoe UI" w:hAnsi="Segoe UI" w:cs="Times New Roman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lastRenderedPageBreak/>
        <w:t>Be conversant with how Money Laundering and terrorism Financing crosses border and how the Department of Justice (</w:t>
      </w: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DoJ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) in America can get involved.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Case studies will enhance the knowledge transfer process thereby promoting greater understanding.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Case Study Assignment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Module 9: Targeted Sanctions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Overview of Designated Party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Overview of Listed Party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What are United Nations Sanctions?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Objectives of the United Nations (Financial Prohibitions, Arms Embargo and Travel Ban) Sanctions Act 2019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Targeted Sanctions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Powers of National Sanctions Committee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Duties of National Sanctions Secretariat (under the aegis of the PMO)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Designated Party vs Listed Party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Circumstances When a Party Be Declared as Designated Parties?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Procedure for declaration of Designated Parties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Listing proposal to the UN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Obligation on reporting persons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Financial Prohibitions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Duty (on any person who holds or controls assets for DP /LP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Freezing Order (Procedure, Implications, Variation, Lapse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Administrator (Decision, Appointment, Qualification, Duties, termination)</w:t>
      </w: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iCs/>
          <w:color w:val="BF0000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iCs/>
          <w:color w:val="BF0000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8"/>
          <w:szCs w:val="28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>Be conversant with legislation aimed specifically at combatting terrorism and proliferation financing.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8"/>
          <w:szCs w:val="28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>The application of the sections of the legislation and how reporting persons are supposed to deal with designated and listed parties.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Segoe UI" w:eastAsia="Segoe UI" w:hAnsi="Segoe UI" w:cs="Times New Roman"/>
          <w:b/>
          <w:iCs/>
          <w:color w:val="92D050"/>
        </w:rPr>
      </w:pP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8"/>
          <w:szCs w:val="28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in-class test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8"/>
          <w:szCs w:val="28"/>
        </w:rPr>
      </w:pPr>
    </w:p>
    <w:p w:rsidR="008846FF" w:rsidRPr="008846FF" w:rsidRDefault="008846FF" w:rsidP="008846FF">
      <w:pPr>
        <w:keepNext/>
        <w:keepLines/>
        <w:widowControl/>
        <w:numPr>
          <w:ilvl w:val="1"/>
          <w:numId w:val="0"/>
        </w:numPr>
        <w:pBdr>
          <w:left w:val="single" w:sz="48" w:space="0" w:color="2B579A"/>
          <w:bottom w:val="single" w:sz="48" w:space="1" w:color="2B579A"/>
        </w:pBdr>
        <w:shd w:val="clear" w:color="auto" w:fill="2B579A"/>
        <w:autoSpaceDE/>
        <w:autoSpaceDN/>
        <w:spacing w:before="40" w:after="120" w:line="259" w:lineRule="auto"/>
        <w:ind w:left="144"/>
        <w:contextualSpacing/>
        <w:outlineLvl w:val="2"/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</w:pPr>
      <w:r w:rsidRPr="008846FF">
        <w:rPr>
          <w:rFonts w:ascii="Segoe UI Light" w:eastAsia="MS Gothic" w:hAnsi="Segoe UI Light" w:cs="Times New Roman"/>
          <w:b/>
          <w:bCs/>
          <w:color w:val="FFFFFF"/>
          <w:spacing w:val="15"/>
          <w:sz w:val="24"/>
          <w:szCs w:val="24"/>
        </w:rPr>
        <w:t>Module 10: Global trends in the fight against financial crime (including cryptocurrency)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6AMLD: </w:t>
      </w:r>
    </w:p>
    <w:p w:rsidR="008846FF" w:rsidRPr="008846FF" w:rsidRDefault="008846FF" w:rsidP="008846FF">
      <w:pPr>
        <w:widowControl/>
        <w:numPr>
          <w:ilvl w:val="0"/>
          <w:numId w:val="26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Harmonizing the definition of money laundering across the EU</w:t>
      </w:r>
    </w:p>
    <w:p w:rsidR="008846FF" w:rsidRPr="008846FF" w:rsidRDefault="008846FF" w:rsidP="008846FF">
      <w:pPr>
        <w:widowControl/>
        <w:numPr>
          <w:ilvl w:val="0"/>
          <w:numId w:val="26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Expansion of the range of predicate offences to 22 (to include environmental and </w:t>
      </w:r>
      <w:proofErr w:type="spell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cyber crimes</w:t>
      </w:r>
      <w:proofErr w:type="spell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)</w:t>
      </w:r>
    </w:p>
    <w:p w:rsidR="008846FF" w:rsidRPr="008846FF" w:rsidRDefault="008846FF" w:rsidP="008846FF">
      <w:pPr>
        <w:widowControl/>
        <w:numPr>
          <w:ilvl w:val="0"/>
          <w:numId w:val="26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Aiding and abetting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The creation of a supra AML Regulator by the European Commission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Digital Identity, </w:t>
      </w:r>
      <w:proofErr w:type="spellStart"/>
      <w:proofErr w:type="gramStart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non face-to-face</w:t>
      </w:r>
      <w:proofErr w:type="spellEnd"/>
      <w:proofErr w:type="gramEnd"/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 contact and identity theft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Taking information sharing to the next level: The introduction of a platform in 2023 in Singapore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 xml:space="preserve">AML/CFT trends in respect of new technologies (e.g., Cryptocurrencies) </w:t>
      </w:r>
    </w:p>
    <w:p w:rsidR="008846FF" w:rsidRPr="008846FF" w:rsidRDefault="008846FF" w:rsidP="008846FF">
      <w:pPr>
        <w:widowControl/>
        <w:autoSpaceDE/>
        <w:autoSpaceDN/>
        <w:spacing w:before="160" w:line="259" w:lineRule="auto"/>
        <w:rPr>
          <w:rFonts w:ascii="Segoe UI" w:eastAsia="Segoe UI" w:hAnsi="Segoe UI" w:cs="Times New Roman"/>
        </w:rPr>
      </w:pPr>
    </w:p>
    <w:p w:rsidR="008846FF" w:rsidRPr="008846FF" w:rsidRDefault="008846FF" w:rsidP="008846FF">
      <w:pPr>
        <w:widowControl/>
        <w:autoSpaceDE/>
        <w:autoSpaceDN/>
        <w:spacing w:before="160" w:line="259" w:lineRule="auto"/>
        <w:jc w:val="both"/>
        <w:rPr>
          <w:rFonts w:ascii="Segoe UI" w:eastAsia="Segoe UI" w:hAnsi="Segoe UI" w:cs="Times New Roman"/>
          <w:b/>
          <w:iCs/>
          <w:color w:val="BF0000"/>
        </w:rPr>
      </w:pPr>
      <w:r w:rsidRPr="008846FF">
        <w:rPr>
          <w:rFonts w:ascii="Segoe UI" w:eastAsia="Segoe UI" w:hAnsi="Segoe UI" w:cs="Times New Roman"/>
          <w:b/>
          <w:iCs/>
          <w:color w:val="BF0000"/>
        </w:rPr>
        <w:t>Module outcome: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To understand the how EU AML </w:t>
      </w:r>
      <w:proofErr w:type="gramStart"/>
      <w:r w:rsidRPr="008846FF">
        <w:rPr>
          <w:rFonts w:ascii="Franklin Gothic Book" w:eastAsia="Segoe UI" w:hAnsi="Franklin Gothic Book" w:cs="Times New Roman"/>
          <w:sz w:val="24"/>
          <w:szCs w:val="24"/>
        </w:rPr>
        <w:t>Directives</w:t>
      </w:r>
      <w:proofErr w:type="gramEnd"/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 apply in EU member states, considering the range of predicate offences that now qualify as offences under the new AML legislation in the EU.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>To understand the risks attached to digital identity.</w:t>
      </w:r>
    </w:p>
    <w:p w:rsidR="008846FF" w:rsidRPr="008846FF" w:rsidRDefault="008846FF" w:rsidP="008846FF">
      <w:pPr>
        <w:widowControl/>
        <w:numPr>
          <w:ilvl w:val="0"/>
          <w:numId w:val="23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>Looking at how Regulators across different continents are looking at facilitating information sharing for the timely intervention of the authorities and financial institutions.</w:t>
      </w:r>
    </w:p>
    <w:p w:rsidR="008846FF" w:rsidRPr="008846FF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8846FF" w:rsidRDefault="008846FF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  <w:r w:rsidRPr="008846FF">
        <w:rPr>
          <w:rFonts w:ascii="Segoe UI" w:eastAsia="Segoe UI" w:hAnsi="Segoe UI" w:cs="Times New Roman"/>
          <w:b/>
          <w:iCs/>
          <w:color w:val="92D050"/>
        </w:rPr>
        <w:t>Assessment: Oral Presentation</w:t>
      </w:r>
    </w:p>
    <w:p w:rsidR="009D49A1" w:rsidRDefault="009D49A1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</w:p>
    <w:p w:rsidR="009D49A1" w:rsidRPr="008846FF" w:rsidRDefault="009D49A1" w:rsidP="008846FF">
      <w:pPr>
        <w:widowControl/>
        <w:autoSpaceDE/>
        <w:autoSpaceDN/>
        <w:jc w:val="both"/>
        <w:rPr>
          <w:rFonts w:ascii="Segoe UI" w:eastAsia="Segoe UI" w:hAnsi="Segoe UI" w:cs="Times New Roman"/>
          <w:b/>
          <w:iCs/>
          <w:color w:val="92D05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6"/>
      </w:tblGrid>
      <w:tr w:rsidR="009D49A1" w:rsidTr="00795830">
        <w:trPr>
          <w:trHeight w:val="633"/>
        </w:trPr>
        <w:tc>
          <w:tcPr>
            <w:tcW w:w="9496" w:type="dxa"/>
            <w:shd w:val="clear" w:color="auto" w:fill="9CC2E4"/>
          </w:tcPr>
          <w:p w:rsidR="009D49A1" w:rsidRPr="008B0415" w:rsidRDefault="009D49A1" w:rsidP="00795830">
            <w:pPr>
              <w:pStyle w:val="TableParagraph"/>
              <w:spacing w:before="181"/>
              <w:ind w:left="467"/>
              <w:rPr>
                <w:b/>
                <w:sz w:val="40"/>
                <w:szCs w:val="40"/>
              </w:rPr>
            </w:pPr>
            <w:r w:rsidRPr="008B041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4</w:t>
            </w:r>
            <w:r w:rsidRPr="008B0415">
              <w:rPr>
                <w:b/>
                <w:sz w:val="40"/>
                <w:szCs w:val="40"/>
              </w:rPr>
              <w:t xml:space="preserve">. </w:t>
            </w:r>
            <w:r>
              <w:rPr>
                <w:b/>
                <w:sz w:val="40"/>
                <w:szCs w:val="40"/>
              </w:rPr>
              <w:t>Coursework and examination details</w:t>
            </w:r>
          </w:p>
        </w:tc>
      </w:tr>
    </w:tbl>
    <w:p w:rsidR="009D49A1" w:rsidRDefault="009D49A1" w:rsidP="009D49A1">
      <w:pPr>
        <w:spacing w:before="3"/>
        <w:rPr>
          <w:b/>
        </w:rPr>
      </w:pPr>
    </w:p>
    <w:p w:rsidR="00D1414C" w:rsidRPr="008846FF" w:rsidRDefault="00D1414C" w:rsidP="00D1414C">
      <w:pPr>
        <w:keepNext/>
        <w:keepLines/>
        <w:widowControl/>
        <w:pBdr>
          <w:bottom w:val="single" w:sz="18" w:space="1" w:color="2B579A"/>
        </w:pBdr>
        <w:autoSpaceDE/>
        <w:autoSpaceDN/>
        <w:spacing w:before="360" w:after="240"/>
        <w:contextualSpacing/>
        <w:outlineLvl w:val="0"/>
        <w:rPr>
          <w:rFonts w:ascii="Segoe UI Light" w:eastAsia="MS Gothic" w:hAnsi="Segoe UI Light" w:cs="Times New Roman"/>
          <w:b/>
          <w:bCs/>
          <w:color w:val="002060"/>
          <w:kern w:val="28"/>
          <w:sz w:val="44"/>
          <w:szCs w:val="44"/>
          <w14:ligatures w14:val="standard"/>
          <w14:numForm w14:val="oldStyle"/>
        </w:rPr>
      </w:pPr>
      <w:r>
        <w:rPr>
          <w:rFonts w:ascii="Segoe UI Light" w:eastAsia="MS Gothic" w:hAnsi="Segoe UI Light" w:cs="Times New Roman"/>
          <w:b/>
          <w:bCs/>
          <w:color w:val="002060"/>
          <w:kern w:val="28"/>
          <w:sz w:val="44"/>
          <w:szCs w:val="44"/>
          <w14:ligatures w14:val="standard"/>
          <w14:numForm w14:val="oldStyle"/>
        </w:rPr>
        <w:t>Coursework</w:t>
      </w:r>
    </w:p>
    <w:p w:rsidR="008B0415" w:rsidRDefault="00D1414C" w:rsidP="008B0415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>
        <w:rPr>
          <w:rFonts w:ascii="Franklin Gothic Book" w:eastAsia="Segoe UI" w:hAnsi="Franklin Gothic Book" w:cs="Times New Roman"/>
          <w:sz w:val="24"/>
          <w:szCs w:val="24"/>
        </w:rPr>
        <w:t>All modules will be assessed through their respective coursework</w:t>
      </w:r>
      <w:r w:rsidR="00C0259C">
        <w:rPr>
          <w:rFonts w:ascii="Franklin Gothic Book" w:eastAsia="Segoe UI" w:hAnsi="Franklin Gothic Book" w:cs="Times New Roman"/>
          <w:sz w:val="24"/>
          <w:szCs w:val="24"/>
        </w:rPr>
        <w:t>/TMA</w:t>
      </w:r>
      <w:r>
        <w:rPr>
          <w:rFonts w:ascii="Franklin Gothic Book" w:eastAsia="Segoe UI" w:hAnsi="Franklin Gothic Book" w:cs="Times New Roman"/>
          <w:sz w:val="24"/>
          <w:szCs w:val="24"/>
        </w:rPr>
        <w:t>. The coursework will be over 100% for each module.</w:t>
      </w:r>
      <w:r w:rsidR="008B0415">
        <w:rPr>
          <w:rFonts w:ascii="Franklin Gothic Book" w:eastAsia="Segoe UI" w:hAnsi="Franklin Gothic Book" w:cs="Times New Roman"/>
          <w:sz w:val="24"/>
          <w:szCs w:val="24"/>
        </w:rPr>
        <w:t xml:space="preserve"> </w:t>
      </w:r>
      <w:r w:rsidR="008B0415">
        <w:rPr>
          <w:rFonts w:ascii="Franklin Gothic Book" w:eastAsia="Segoe UI" w:hAnsi="Franklin Gothic Book" w:cs="Times New Roman"/>
          <w:sz w:val="24"/>
          <w:szCs w:val="24"/>
        </w:rPr>
        <w:t>Learners need to score at least 50%</w:t>
      </w:r>
      <w:r w:rsidR="008B0415">
        <w:rPr>
          <w:rFonts w:ascii="Franklin Gothic Book" w:eastAsia="Segoe UI" w:hAnsi="Franklin Gothic Book" w:cs="Times New Roman"/>
          <w:sz w:val="24"/>
          <w:szCs w:val="24"/>
        </w:rPr>
        <w:t xml:space="preserve"> (see grade structure in Section 9).</w:t>
      </w:r>
    </w:p>
    <w:p w:rsidR="00D1414C" w:rsidRDefault="00D1414C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3A695F" w:rsidRPr="008846FF" w:rsidRDefault="003A695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8846FF" w:rsidRPr="008846FF" w:rsidRDefault="008846FF" w:rsidP="008846FF">
      <w:pPr>
        <w:keepNext/>
        <w:keepLines/>
        <w:widowControl/>
        <w:pBdr>
          <w:bottom w:val="single" w:sz="18" w:space="1" w:color="2B579A"/>
        </w:pBdr>
        <w:autoSpaceDE/>
        <w:autoSpaceDN/>
        <w:spacing w:before="360" w:after="240"/>
        <w:contextualSpacing/>
        <w:outlineLvl w:val="0"/>
        <w:rPr>
          <w:rFonts w:ascii="Segoe UI Light" w:eastAsia="MS Gothic" w:hAnsi="Segoe UI Light" w:cs="Times New Roman"/>
          <w:b/>
          <w:bCs/>
          <w:color w:val="002060"/>
          <w:kern w:val="28"/>
          <w:sz w:val="44"/>
          <w:szCs w:val="44"/>
          <w14:ligatures w14:val="standard"/>
          <w14:numForm w14:val="oldStyle"/>
        </w:rPr>
      </w:pPr>
      <w:r w:rsidRPr="008846FF">
        <w:rPr>
          <w:rFonts w:ascii="Segoe UI Light" w:eastAsia="MS Gothic" w:hAnsi="Segoe UI Light" w:cs="Times New Roman"/>
          <w:b/>
          <w:bCs/>
          <w:color w:val="002060"/>
          <w:kern w:val="28"/>
          <w:sz w:val="44"/>
          <w:szCs w:val="44"/>
          <w14:ligatures w14:val="standard"/>
          <w14:numForm w14:val="oldStyle"/>
        </w:rPr>
        <w:t>Examination</w:t>
      </w:r>
    </w:p>
    <w:p w:rsidR="001E38D4" w:rsidRDefault="008846FF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Semester 1: </w:t>
      </w:r>
      <w:r w:rsidR="00D1414C">
        <w:rPr>
          <w:rFonts w:ascii="Franklin Gothic Book" w:eastAsia="Segoe UI" w:hAnsi="Franklin Gothic Book" w:cs="Times New Roman"/>
          <w:sz w:val="24"/>
          <w:szCs w:val="24"/>
        </w:rPr>
        <w:t>2 in</w:t>
      </w:r>
      <w:r w:rsidR="001E38D4">
        <w:rPr>
          <w:rFonts w:ascii="Franklin Gothic Book" w:eastAsia="Segoe UI" w:hAnsi="Franklin Gothic Book" w:cs="Times New Roman"/>
          <w:sz w:val="24"/>
          <w:szCs w:val="24"/>
        </w:rPr>
        <w:t>-</w:t>
      </w:r>
      <w:r w:rsidR="00D1414C">
        <w:rPr>
          <w:rFonts w:ascii="Franklin Gothic Book" w:eastAsia="Segoe UI" w:hAnsi="Franklin Gothic Book" w:cs="Times New Roman"/>
          <w:sz w:val="24"/>
          <w:szCs w:val="24"/>
        </w:rPr>
        <w:t xml:space="preserve">person exams in a controlled environment </w:t>
      </w:r>
      <w:r w:rsidR="004F55FB">
        <w:rPr>
          <w:rFonts w:ascii="Franklin Gothic Book" w:eastAsia="Segoe UI" w:hAnsi="Franklin Gothic Book" w:cs="Times New Roman"/>
          <w:sz w:val="24"/>
          <w:szCs w:val="24"/>
        </w:rPr>
        <w:t>x 2</w:t>
      </w: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 Hour</w:t>
      </w:r>
      <w:r w:rsidR="004F55FB">
        <w:rPr>
          <w:rFonts w:ascii="Franklin Gothic Book" w:eastAsia="Segoe UI" w:hAnsi="Franklin Gothic Book" w:cs="Times New Roman"/>
          <w:sz w:val="24"/>
          <w:szCs w:val="24"/>
        </w:rPr>
        <w:t>s</w:t>
      </w: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 Written </w:t>
      </w:r>
      <w:r w:rsidR="001E38D4">
        <w:rPr>
          <w:rFonts w:ascii="Franklin Gothic Book" w:eastAsia="Segoe UI" w:hAnsi="Franklin Gothic Book" w:cs="Times New Roman"/>
          <w:sz w:val="24"/>
          <w:szCs w:val="24"/>
        </w:rPr>
        <w:t>papers</w:t>
      </w:r>
      <w:r w:rsidR="003A695F">
        <w:rPr>
          <w:rFonts w:ascii="Franklin Gothic Book" w:eastAsia="Segoe UI" w:hAnsi="Franklin Gothic Book" w:cs="Times New Roman"/>
          <w:sz w:val="24"/>
          <w:szCs w:val="24"/>
        </w:rPr>
        <w:t xml:space="preserve"> </w:t>
      </w:r>
    </w:p>
    <w:p w:rsidR="001E38D4" w:rsidRDefault="001E38D4" w:rsidP="001E38D4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Semester </w:t>
      </w:r>
      <w:r>
        <w:rPr>
          <w:rFonts w:ascii="Franklin Gothic Book" w:eastAsia="Segoe UI" w:hAnsi="Franklin Gothic Book" w:cs="Times New Roman"/>
          <w:sz w:val="24"/>
          <w:szCs w:val="24"/>
        </w:rPr>
        <w:t>2</w:t>
      </w: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: </w:t>
      </w:r>
      <w:r>
        <w:rPr>
          <w:rFonts w:ascii="Franklin Gothic Book" w:eastAsia="Segoe UI" w:hAnsi="Franklin Gothic Book" w:cs="Times New Roman"/>
          <w:sz w:val="24"/>
          <w:szCs w:val="24"/>
        </w:rPr>
        <w:t>2 in-person exams in a controlled environment x 2</w:t>
      </w: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 Hour</w:t>
      </w:r>
      <w:r>
        <w:rPr>
          <w:rFonts w:ascii="Franklin Gothic Book" w:eastAsia="Segoe UI" w:hAnsi="Franklin Gothic Book" w:cs="Times New Roman"/>
          <w:sz w:val="24"/>
          <w:szCs w:val="24"/>
        </w:rPr>
        <w:t>s</w:t>
      </w:r>
      <w:r w:rsidRPr="008846FF">
        <w:rPr>
          <w:rFonts w:ascii="Franklin Gothic Book" w:eastAsia="Segoe UI" w:hAnsi="Franklin Gothic Book" w:cs="Times New Roman"/>
          <w:sz w:val="24"/>
          <w:szCs w:val="24"/>
        </w:rPr>
        <w:t xml:space="preserve"> Written </w:t>
      </w:r>
      <w:r>
        <w:rPr>
          <w:rFonts w:ascii="Franklin Gothic Book" w:eastAsia="Segoe UI" w:hAnsi="Franklin Gothic Book" w:cs="Times New Roman"/>
          <w:sz w:val="24"/>
          <w:szCs w:val="24"/>
        </w:rPr>
        <w:t>papers</w:t>
      </w:r>
    </w:p>
    <w:p w:rsidR="001E38D4" w:rsidRDefault="001E38D4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3A695F" w:rsidRDefault="003A695F" w:rsidP="003A695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>
        <w:rPr>
          <w:rFonts w:ascii="Franklin Gothic Book" w:eastAsia="Segoe UI" w:hAnsi="Franklin Gothic Book" w:cs="Times New Roman"/>
          <w:sz w:val="24"/>
          <w:szCs w:val="24"/>
        </w:rPr>
        <w:t xml:space="preserve">Evaluation of learning </w:t>
      </w:r>
      <w:proofErr w:type="gramStart"/>
      <w:r>
        <w:rPr>
          <w:rFonts w:ascii="Franklin Gothic Book" w:eastAsia="Segoe UI" w:hAnsi="Franklin Gothic Book" w:cs="Times New Roman"/>
          <w:sz w:val="24"/>
          <w:szCs w:val="24"/>
        </w:rPr>
        <w:t>outcomes :</w:t>
      </w:r>
      <w:proofErr w:type="gramEnd"/>
      <w:r>
        <w:rPr>
          <w:rFonts w:ascii="Franklin Gothic Book" w:eastAsia="Segoe UI" w:hAnsi="Franklin Gothic Book" w:cs="Times New Roman"/>
          <w:sz w:val="24"/>
          <w:szCs w:val="24"/>
        </w:rPr>
        <w:t xml:space="preserve"> For each semester, the </w:t>
      </w:r>
      <w:r>
        <w:rPr>
          <w:rFonts w:ascii="Franklin Gothic Book" w:eastAsia="Segoe UI" w:hAnsi="Franklin Gothic Book" w:cs="Times New Roman"/>
          <w:sz w:val="24"/>
          <w:szCs w:val="24"/>
        </w:rPr>
        <w:t>1</w:t>
      </w:r>
      <w:r w:rsidRPr="003A695F">
        <w:rPr>
          <w:rFonts w:ascii="Franklin Gothic Book" w:eastAsia="Segoe UI" w:hAnsi="Franklin Gothic Book" w:cs="Times New Roman"/>
          <w:sz w:val="24"/>
          <w:szCs w:val="24"/>
          <w:vertAlign w:val="superscript"/>
        </w:rPr>
        <w:t>st</w:t>
      </w:r>
      <w:r>
        <w:rPr>
          <w:rFonts w:ascii="Franklin Gothic Book" w:eastAsia="Segoe UI" w:hAnsi="Franklin Gothic Book" w:cs="Times New Roman"/>
          <w:sz w:val="24"/>
          <w:szCs w:val="24"/>
        </w:rPr>
        <w:t xml:space="preserve"> </w:t>
      </w:r>
      <w:r w:rsidR="004349E3">
        <w:rPr>
          <w:rFonts w:ascii="Franklin Gothic Book" w:eastAsia="Segoe UI" w:hAnsi="Franklin Gothic Book" w:cs="Times New Roman"/>
          <w:sz w:val="24"/>
          <w:szCs w:val="24"/>
        </w:rPr>
        <w:t>e</w:t>
      </w:r>
      <w:r>
        <w:rPr>
          <w:rFonts w:ascii="Franklin Gothic Book" w:eastAsia="Segoe UI" w:hAnsi="Franklin Gothic Book" w:cs="Times New Roman"/>
          <w:sz w:val="24"/>
          <w:szCs w:val="24"/>
        </w:rPr>
        <w:t xml:space="preserve">xam will be based on </w:t>
      </w:r>
      <w:r>
        <w:rPr>
          <w:rFonts w:ascii="Franklin Gothic Book" w:eastAsia="Segoe UI" w:hAnsi="Franklin Gothic Book" w:cs="Times New Roman"/>
          <w:sz w:val="24"/>
          <w:szCs w:val="24"/>
        </w:rPr>
        <w:t xml:space="preserve">its respective </w:t>
      </w:r>
      <w:r>
        <w:rPr>
          <w:rFonts w:ascii="Franklin Gothic Book" w:eastAsia="Segoe UI" w:hAnsi="Franklin Gothic Book" w:cs="Times New Roman"/>
          <w:sz w:val="24"/>
          <w:szCs w:val="24"/>
        </w:rPr>
        <w:t>module</w:t>
      </w:r>
      <w:r>
        <w:rPr>
          <w:rFonts w:ascii="Franklin Gothic Book" w:eastAsia="Segoe UI" w:hAnsi="Franklin Gothic Book" w:cs="Times New Roman"/>
          <w:sz w:val="24"/>
          <w:szCs w:val="24"/>
        </w:rPr>
        <w:t>s</w:t>
      </w:r>
      <w:r>
        <w:rPr>
          <w:rFonts w:ascii="Franklin Gothic Book" w:eastAsia="Segoe UI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Segoe UI" w:hAnsi="Franklin Gothic Book" w:cs="Times New Roman"/>
          <w:sz w:val="24"/>
          <w:szCs w:val="24"/>
        </w:rPr>
        <w:t>1 &amp; 2 and the 2</w:t>
      </w:r>
      <w:r w:rsidRPr="003A695F">
        <w:rPr>
          <w:rFonts w:ascii="Franklin Gothic Book" w:eastAsia="Segoe UI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Segoe UI" w:hAnsi="Franklin Gothic Book" w:cs="Times New Roman"/>
          <w:sz w:val="24"/>
          <w:szCs w:val="24"/>
        </w:rPr>
        <w:t xml:space="preserve"> exam will be based on modules 3,4 and 5</w:t>
      </w:r>
    </w:p>
    <w:p w:rsidR="001E38D4" w:rsidRDefault="001E38D4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>
        <w:rPr>
          <w:rFonts w:ascii="Franklin Gothic Book" w:eastAsia="Segoe UI" w:hAnsi="Franklin Gothic Book" w:cs="Times New Roman"/>
          <w:sz w:val="24"/>
          <w:szCs w:val="24"/>
        </w:rPr>
        <w:t xml:space="preserve">Question type: </w:t>
      </w:r>
      <w:r w:rsidR="008846FF" w:rsidRPr="008846FF">
        <w:rPr>
          <w:rFonts w:ascii="Franklin Gothic Book" w:eastAsia="Segoe UI" w:hAnsi="Franklin Gothic Book" w:cs="Times New Roman"/>
          <w:sz w:val="24"/>
          <w:szCs w:val="24"/>
        </w:rPr>
        <w:t xml:space="preserve">Multiple Choice </w:t>
      </w:r>
      <w:r w:rsidR="00D1414C">
        <w:rPr>
          <w:rFonts w:ascii="Franklin Gothic Book" w:eastAsia="Segoe UI" w:hAnsi="Franklin Gothic Book" w:cs="Times New Roman"/>
          <w:sz w:val="24"/>
          <w:szCs w:val="24"/>
        </w:rPr>
        <w:t xml:space="preserve">/ </w:t>
      </w:r>
      <w:r w:rsidR="008846FF" w:rsidRPr="008846FF">
        <w:rPr>
          <w:rFonts w:ascii="Franklin Gothic Book" w:eastAsia="Segoe UI" w:hAnsi="Franklin Gothic Book" w:cs="Times New Roman"/>
          <w:sz w:val="24"/>
          <w:szCs w:val="24"/>
        </w:rPr>
        <w:t>Case Studies</w:t>
      </w:r>
      <w:r>
        <w:rPr>
          <w:rFonts w:ascii="Franklin Gothic Book" w:eastAsia="Segoe UI" w:hAnsi="Franklin Gothic Book" w:cs="Times New Roman"/>
          <w:sz w:val="24"/>
          <w:szCs w:val="24"/>
        </w:rPr>
        <w:t xml:space="preserve"> /</w:t>
      </w:r>
      <w:r w:rsidR="00D1414C">
        <w:rPr>
          <w:rFonts w:ascii="Franklin Gothic Book" w:eastAsia="Segoe UI" w:hAnsi="Franklin Gothic Book" w:cs="Times New Roman"/>
          <w:sz w:val="24"/>
          <w:szCs w:val="24"/>
        </w:rPr>
        <w:t xml:space="preserve"> Essay</w:t>
      </w:r>
      <w:r w:rsidR="004F55FB">
        <w:rPr>
          <w:rFonts w:ascii="Franklin Gothic Book" w:eastAsia="Segoe UI" w:hAnsi="Franklin Gothic Book" w:cs="Times New Roman"/>
          <w:sz w:val="24"/>
          <w:szCs w:val="24"/>
        </w:rPr>
        <w:t xml:space="preserve"> </w:t>
      </w:r>
    </w:p>
    <w:p w:rsidR="001E38D4" w:rsidRDefault="001E38D4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>
        <w:rPr>
          <w:rFonts w:ascii="Franklin Gothic Book" w:eastAsia="Segoe UI" w:hAnsi="Franklin Gothic Book" w:cs="Times New Roman"/>
          <w:sz w:val="24"/>
          <w:szCs w:val="24"/>
        </w:rPr>
        <w:t xml:space="preserve">Marks for each </w:t>
      </w:r>
      <w:proofErr w:type="gramStart"/>
      <w:r>
        <w:rPr>
          <w:rFonts w:ascii="Franklin Gothic Book" w:eastAsia="Segoe UI" w:hAnsi="Franklin Gothic Book" w:cs="Times New Roman"/>
          <w:sz w:val="24"/>
          <w:szCs w:val="24"/>
        </w:rPr>
        <w:t>exam :</w:t>
      </w:r>
      <w:proofErr w:type="gramEnd"/>
      <w:r>
        <w:rPr>
          <w:rFonts w:ascii="Franklin Gothic Book" w:eastAsia="Segoe UI" w:hAnsi="Franklin Gothic Book" w:cs="Times New Roman"/>
          <w:sz w:val="24"/>
          <w:szCs w:val="24"/>
        </w:rPr>
        <w:t xml:space="preserve"> 100 %</w:t>
      </w:r>
    </w:p>
    <w:p w:rsidR="00C0259C" w:rsidRDefault="00C0259C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  <w:r>
        <w:rPr>
          <w:rFonts w:ascii="Franklin Gothic Book" w:eastAsia="Segoe UI" w:hAnsi="Franklin Gothic Book" w:cs="Times New Roman"/>
          <w:sz w:val="24"/>
          <w:szCs w:val="24"/>
        </w:rPr>
        <w:t>Pass mark : 50%</w:t>
      </w:r>
      <w:bookmarkStart w:id="4" w:name="_GoBack"/>
      <w:bookmarkEnd w:id="4"/>
    </w:p>
    <w:p w:rsidR="001E38D4" w:rsidRDefault="001E38D4" w:rsidP="008846FF">
      <w:pPr>
        <w:widowControl/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</w:rPr>
      </w:pPr>
    </w:p>
    <w:p w:rsidR="008846FF" w:rsidRPr="008846FF" w:rsidRDefault="008846FF" w:rsidP="008846FF">
      <w:pPr>
        <w:keepNext/>
        <w:keepLines/>
        <w:widowControl/>
        <w:pBdr>
          <w:bottom w:val="single" w:sz="18" w:space="1" w:color="2B579A"/>
        </w:pBdr>
        <w:autoSpaceDE/>
        <w:autoSpaceDN/>
        <w:spacing w:before="360" w:after="240"/>
        <w:contextualSpacing/>
        <w:outlineLvl w:val="0"/>
        <w:rPr>
          <w:rFonts w:ascii="Segoe UI Light" w:eastAsia="MS Gothic" w:hAnsi="Segoe UI Light" w:cs="Times New Roman"/>
          <w:b/>
          <w:bCs/>
          <w:color w:val="002060"/>
          <w:kern w:val="28"/>
          <w:sz w:val="44"/>
          <w:szCs w:val="44"/>
          <w14:ligatures w14:val="standard"/>
          <w14:numForm w14:val="oldStyle"/>
        </w:rPr>
      </w:pPr>
      <w:r w:rsidRPr="008846FF">
        <w:rPr>
          <w:rFonts w:ascii="Segoe UI Light" w:eastAsia="MS Gothic" w:hAnsi="Segoe UI Light" w:cs="Times New Roman"/>
          <w:b/>
          <w:bCs/>
          <w:color w:val="002060"/>
          <w:kern w:val="28"/>
          <w:sz w:val="44"/>
          <w:szCs w:val="44"/>
          <w14:ligatures w14:val="standard"/>
          <w14:numForm w14:val="oldStyle"/>
        </w:rPr>
        <w:t xml:space="preserve">Reading List 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AML, CFT and Proliferation Act 2019 (Mauritius)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FSC (2020). AML/CFT Handbook.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line="259" w:lineRule="auto"/>
        <w:contextualSpacing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Bank of Mauritius (2020). Guideline on Anti-Money Laundering and Combating the Financing of Terrorism and Proliferation</w:t>
      </w:r>
    </w:p>
    <w:p w:rsidR="008846FF" w:rsidRPr="008846FF" w:rsidRDefault="008846FF" w:rsidP="008846FF">
      <w:pPr>
        <w:widowControl/>
        <w:autoSpaceDE/>
        <w:autoSpaceDN/>
        <w:spacing w:before="160" w:line="259" w:lineRule="auto"/>
        <w:ind w:left="720"/>
        <w:contextualSpacing/>
        <w:rPr>
          <w:rFonts w:ascii="Franklin Gothic Book" w:eastAsia="Segoe UI" w:hAnsi="Franklin Gothic Book" w:cs="Times New Roman"/>
          <w:sz w:val="24"/>
          <w:szCs w:val="24"/>
          <w:lang w:val="en-GB"/>
        </w:rPr>
      </w:pP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FATF (2012-2019). International Standards on Combating Money Laundering and the Financing of Terrorism &amp; Proliferation.</w:t>
      </w:r>
    </w:p>
    <w:p w:rsidR="008846FF" w:rsidRPr="008846FF" w:rsidRDefault="008846FF" w:rsidP="008846FF">
      <w:pPr>
        <w:widowControl/>
        <w:numPr>
          <w:ilvl w:val="0"/>
          <w:numId w:val="24"/>
        </w:numPr>
        <w:autoSpaceDE/>
        <w:autoSpaceDN/>
        <w:spacing w:before="160" w:after="160" w:line="259" w:lineRule="auto"/>
        <w:jc w:val="both"/>
        <w:rPr>
          <w:rFonts w:ascii="Franklin Gothic Book" w:eastAsia="Segoe UI" w:hAnsi="Franklin Gothic Book" w:cs="Times New Roman"/>
          <w:sz w:val="24"/>
          <w:szCs w:val="24"/>
          <w:lang w:val="en-GB"/>
        </w:rPr>
      </w:pPr>
      <w:r w:rsidRPr="008846FF">
        <w:rPr>
          <w:rFonts w:ascii="Franklin Gothic Book" w:eastAsia="Segoe UI" w:hAnsi="Franklin Gothic Book" w:cs="Times New Roman"/>
          <w:sz w:val="24"/>
          <w:szCs w:val="24"/>
          <w:lang w:val="en-GB"/>
        </w:rPr>
        <w:t>FATF (2019). Guidance for a Risk-Based Approach for Trust &amp; Company Service Providers (TSCPs).</w:t>
      </w:r>
    </w:p>
    <w:sectPr w:rsidR="008846FF" w:rsidRPr="008846FF" w:rsidSect="00147F01">
      <w:footerReference w:type="default" r:id="rId10"/>
      <w:pgSz w:w="12240" w:h="15840"/>
      <w:pgMar w:top="680" w:right="1120" w:bottom="600" w:left="1140" w:header="0" w:footer="9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FD" w:rsidRDefault="00FB18FD">
      <w:r>
        <w:separator/>
      </w:r>
    </w:p>
  </w:endnote>
  <w:endnote w:type="continuationSeparator" w:id="0">
    <w:p w:rsidR="00FB18FD" w:rsidRDefault="00FB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658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14C" w:rsidRDefault="00D14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14C" w:rsidRDefault="00D1414C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196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415" w:rsidRDefault="008B04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14C" w:rsidRDefault="00D1414C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FD" w:rsidRDefault="00FB18FD">
      <w:r>
        <w:separator/>
      </w:r>
    </w:p>
  </w:footnote>
  <w:footnote w:type="continuationSeparator" w:id="0">
    <w:p w:rsidR="00FB18FD" w:rsidRDefault="00FB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6CB"/>
    <w:multiLevelType w:val="hybridMultilevel"/>
    <w:tmpl w:val="4792F8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24F"/>
    <w:multiLevelType w:val="hybridMultilevel"/>
    <w:tmpl w:val="99B43E98"/>
    <w:lvl w:ilvl="0" w:tplc="AC1C5D6E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b/>
        <w:bCs/>
        <w:color w:val="006FC0"/>
        <w:spacing w:val="-1"/>
        <w:w w:val="100"/>
        <w:sz w:val="22"/>
        <w:szCs w:val="22"/>
        <w:lang w:val="en-US" w:eastAsia="en-US" w:bidi="ar-SA"/>
      </w:rPr>
    </w:lvl>
    <w:lvl w:ilvl="1" w:tplc="A86242B2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ar-SA"/>
      </w:rPr>
    </w:lvl>
    <w:lvl w:ilvl="2" w:tplc="2F647760">
      <w:numFmt w:val="bullet"/>
      <w:lvlText w:val="•"/>
      <w:lvlJc w:val="left"/>
      <w:pPr>
        <w:ind w:left="2128" w:hanging="361"/>
      </w:pPr>
      <w:rPr>
        <w:rFonts w:hint="default"/>
        <w:lang w:val="en-US" w:eastAsia="en-US" w:bidi="ar-SA"/>
      </w:rPr>
    </w:lvl>
    <w:lvl w:ilvl="3" w:tplc="1FC2A7F6">
      <w:numFmt w:val="bullet"/>
      <w:lvlText w:val="•"/>
      <w:lvlJc w:val="left"/>
      <w:pPr>
        <w:ind w:left="2782" w:hanging="361"/>
      </w:pPr>
      <w:rPr>
        <w:rFonts w:hint="default"/>
        <w:lang w:val="en-US" w:eastAsia="en-US" w:bidi="ar-SA"/>
      </w:rPr>
    </w:lvl>
    <w:lvl w:ilvl="4" w:tplc="1A209AD8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5" w:tplc="F82AF92A">
      <w:numFmt w:val="bullet"/>
      <w:lvlText w:val="•"/>
      <w:lvlJc w:val="left"/>
      <w:pPr>
        <w:ind w:left="4091" w:hanging="361"/>
      </w:pPr>
      <w:rPr>
        <w:rFonts w:hint="default"/>
        <w:lang w:val="en-US" w:eastAsia="en-US" w:bidi="ar-SA"/>
      </w:rPr>
    </w:lvl>
    <w:lvl w:ilvl="6" w:tplc="5EC03F54"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7" w:tplc="E55C8E62">
      <w:numFmt w:val="bullet"/>
      <w:lvlText w:val="•"/>
      <w:lvlJc w:val="left"/>
      <w:pPr>
        <w:ind w:left="5399" w:hanging="361"/>
      </w:pPr>
      <w:rPr>
        <w:rFonts w:hint="default"/>
        <w:lang w:val="en-US" w:eastAsia="en-US" w:bidi="ar-SA"/>
      </w:rPr>
    </w:lvl>
    <w:lvl w:ilvl="8" w:tplc="C8C4B20C">
      <w:numFmt w:val="bullet"/>
      <w:lvlText w:val="•"/>
      <w:lvlJc w:val="left"/>
      <w:pPr>
        <w:ind w:left="605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9064B18"/>
    <w:multiLevelType w:val="hybridMultilevel"/>
    <w:tmpl w:val="569C0ADE"/>
    <w:lvl w:ilvl="0" w:tplc="2B62BDA0">
      <w:numFmt w:val="bullet"/>
      <w:lvlText w:val="•"/>
      <w:lvlJc w:val="left"/>
      <w:pPr>
        <w:ind w:left="408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460468CC">
      <w:numFmt w:val="bullet"/>
      <w:lvlText w:val="•"/>
      <w:lvlJc w:val="left"/>
      <w:pPr>
        <w:ind w:left="1155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2" w:tplc="CC103524">
      <w:numFmt w:val="bullet"/>
      <w:lvlText w:val="•"/>
      <w:lvlJc w:val="left"/>
      <w:pPr>
        <w:ind w:left="1406" w:hanging="180"/>
      </w:pPr>
      <w:rPr>
        <w:rFonts w:hint="default"/>
        <w:lang w:val="en-US" w:eastAsia="en-US" w:bidi="ar-SA"/>
      </w:rPr>
    </w:lvl>
    <w:lvl w:ilvl="3" w:tplc="F4C6FF48">
      <w:numFmt w:val="bullet"/>
      <w:lvlText w:val="•"/>
      <w:lvlJc w:val="left"/>
      <w:pPr>
        <w:ind w:left="1652" w:hanging="180"/>
      </w:pPr>
      <w:rPr>
        <w:rFonts w:hint="default"/>
        <w:lang w:val="en-US" w:eastAsia="en-US" w:bidi="ar-SA"/>
      </w:rPr>
    </w:lvl>
    <w:lvl w:ilvl="4" w:tplc="1C3C952A">
      <w:numFmt w:val="bullet"/>
      <w:lvlText w:val="•"/>
      <w:lvlJc w:val="left"/>
      <w:pPr>
        <w:ind w:left="1899" w:hanging="180"/>
      </w:pPr>
      <w:rPr>
        <w:rFonts w:hint="default"/>
        <w:lang w:val="en-US" w:eastAsia="en-US" w:bidi="ar-SA"/>
      </w:rPr>
    </w:lvl>
    <w:lvl w:ilvl="5" w:tplc="F8D8FF82">
      <w:numFmt w:val="bullet"/>
      <w:lvlText w:val="•"/>
      <w:lvlJc w:val="left"/>
      <w:pPr>
        <w:ind w:left="2145" w:hanging="180"/>
      </w:pPr>
      <w:rPr>
        <w:rFonts w:hint="default"/>
        <w:lang w:val="en-US" w:eastAsia="en-US" w:bidi="ar-SA"/>
      </w:rPr>
    </w:lvl>
    <w:lvl w:ilvl="6" w:tplc="E28CAAAA">
      <w:numFmt w:val="bullet"/>
      <w:lvlText w:val="•"/>
      <w:lvlJc w:val="left"/>
      <w:pPr>
        <w:ind w:left="2392" w:hanging="180"/>
      </w:pPr>
      <w:rPr>
        <w:rFonts w:hint="default"/>
        <w:lang w:val="en-US" w:eastAsia="en-US" w:bidi="ar-SA"/>
      </w:rPr>
    </w:lvl>
    <w:lvl w:ilvl="7" w:tplc="BA143DF6">
      <w:numFmt w:val="bullet"/>
      <w:lvlText w:val="•"/>
      <w:lvlJc w:val="left"/>
      <w:pPr>
        <w:ind w:left="2638" w:hanging="180"/>
      </w:pPr>
      <w:rPr>
        <w:rFonts w:hint="default"/>
        <w:lang w:val="en-US" w:eastAsia="en-US" w:bidi="ar-SA"/>
      </w:rPr>
    </w:lvl>
    <w:lvl w:ilvl="8" w:tplc="56E27B38">
      <w:numFmt w:val="bullet"/>
      <w:lvlText w:val="•"/>
      <w:lvlJc w:val="left"/>
      <w:pPr>
        <w:ind w:left="2885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A452538"/>
    <w:multiLevelType w:val="hybridMultilevel"/>
    <w:tmpl w:val="1CD8DB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782"/>
    <w:multiLevelType w:val="hybridMultilevel"/>
    <w:tmpl w:val="26FABB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85EFF"/>
    <w:multiLevelType w:val="hybridMultilevel"/>
    <w:tmpl w:val="6758335A"/>
    <w:lvl w:ilvl="0" w:tplc="7E4A639C">
      <w:numFmt w:val="bullet"/>
      <w:lvlText w:val="•"/>
      <w:lvlJc w:val="left"/>
      <w:pPr>
        <w:ind w:left="314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BD945ACA">
      <w:numFmt w:val="bullet"/>
      <w:lvlText w:val="•"/>
      <w:lvlJc w:val="left"/>
      <w:pPr>
        <w:ind w:left="863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2" w:tplc="70328D4A">
      <w:numFmt w:val="bullet"/>
      <w:lvlText w:val="•"/>
      <w:lvlJc w:val="left"/>
      <w:pPr>
        <w:ind w:left="1074" w:hanging="180"/>
      </w:pPr>
      <w:rPr>
        <w:rFonts w:hint="default"/>
        <w:lang w:val="en-US" w:eastAsia="en-US" w:bidi="ar-SA"/>
      </w:rPr>
    </w:lvl>
    <w:lvl w:ilvl="3" w:tplc="FC328D26">
      <w:numFmt w:val="bullet"/>
      <w:lvlText w:val="•"/>
      <w:lvlJc w:val="left"/>
      <w:pPr>
        <w:ind w:left="1289" w:hanging="180"/>
      </w:pPr>
      <w:rPr>
        <w:rFonts w:hint="default"/>
        <w:lang w:val="en-US" w:eastAsia="en-US" w:bidi="ar-SA"/>
      </w:rPr>
    </w:lvl>
    <w:lvl w:ilvl="4" w:tplc="58621E8C">
      <w:numFmt w:val="bullet"/>
      <w:lvlText w:val="•"/>
      <w:lvlJc w:val="left"/>
      <w:pPr>
        <w:ind w:left="1503" w:hanging="180"/>
      </w:pPr>
      <w:rPr>
        <w:rFonts w:hint="default"/>
        <w:lang w:val="en-US" w:eastAsia="en-US" w:bidi="ar-SA"/>
      </w:rPr>
    </w:lvl>
    <w:lvl w:ilvl="5" w:tplc="32B0DB1C">
      <w:numFmt w:val="bullet"/>
      <w:lvlText w:val="•"/>
      <w:lvlJc w:val="left"/>
      <w:pPr>
        <w:ind w:left="1718" w:hanging="180"/>
      </w:pPr>
      <w:rPr>
        <w:rFonts w:hint="default"/>
        <w:lang w:val="en-US" w:eastAsia="en-US" w:bidi="ar-SA"/>
      </w:rPr>
    </w:lvl>
    <w:lvl w:ilvl="6" w:tplc="796A5948">
      <w:numFmt w:val="bullet"/>
      <w:lvlText w:val="•"/>
      <w:lvlJc w:val="left"/>
      <w:pPr>
        <w:ind w:left="1932" w:hanging="180"/>
      </w:pPr>
      <w:rPr>
        <w:rFonts w:hint="default"/>
        <w:lang w:val="en-US" w:eastAsia="en-US" w:bidi="ar-SA"/>
      </w:rPr>
    </w:lvl>
    <w:lvl w:ilvl="7" w:tplc="B784BF00">
      <w:numFmt w:val="bullet"/>
      <w:lvlText w:val="•"/>
      <w:lvlJc w:val="left"/>
      <w:pPr>
        <w:ind w:left="2147" w:hanging="180"/>
      </w:pPr>
      <w:rPr>
        <w:rFonts w:hint="default"/>
        <w:lang w:val="en-US" w:eastAsia="en-US" w:bidi="ar-SA"/>
      </w:rPr>
    </w:lvl>
    <w:lvl w:ilvl="8" w:tplc="FE74643E">
      <w:numFmt w:val="bullet"/>
      <w:lvlText w:val="•"/>
      <w:lvlJc w:val="left"/>
      <w:pPr>
        <w:ind w:left="2361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15E51BD8"/>
    <w:multiLevelType w:val="hybridMultilevel"/>
    <w:tmpl w:val="B966056E"/>
    <w:lvl w:ilvl="0" w:tplc="ACB2AD2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9E47E2">
      <w:numFmt w:val="bullet"/>
      <w:lvlText w:val="•"/>
      <w:lvlJc w:val="left"/>
      <w:pPr>
        <w:ind w:left="1492" w:hanging="361"/>
      </w:pPr>
      <w:rPr>
        <w:rFonts w:hint="default"/>
        <w:lang w:val="en-US" w:eastAsia="en-US" w:bidi="ar-SA"/>
      </w:rPr>
    </w:lvl>
    <w:lvl w:ilvl="2" w:tplc="0E5AD4E2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3" w:tplc="6B60BB42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4" w:tplc="57F48D3A">
      <w:numFmt w:val="bullet"/>
      <w:lvlText w:val="•"/>
      <w:lvlJc w:val="left"/>
      <w:pPr>
        <w:ind w:left="3509" w:hanging="361"/>
      </w:pPr>
      <w:rPr>
        <w:rFonts w:hint="default"/>
        <w:lang w:val="en-US" w:eastAsia="en-US" w:bidi="ar-SA"/>
      </w:rPr>
    </w:lvl>
    <w:lvl w:ilvl="5" w:tplc="4F0A88D8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ar-SA"/>
      </w:rPr>
    </w:lvl>
    <w:lvl w:ilvl="6" w:tplc="4ACA84CC">
      <w:numFmt w:val="bullet"/>
      <w:lvlText w:val="•"/>
      <w:lvlJc w:val="left"/>
      <w:pPr>
        <w:ind w:left="4854" w:hanging="361"/>
      </w:pPr>
      <w:rPr>
        <w:rFonts w:hint="default"/>
        <w:lang w:val="en-US" w:eastAsia="en-US" w:bidi="ar-SA"/>
      </w:rPr>
    </w:lvl>
    <w:lvl w:ilvl="7" w:tplc="17602248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ar-SA"/>
      </w:rPr>
    </w:lvl>
    <w:lvl w:ilvl="8" w:tplc="98267F84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C8D56A5"/>
    <w:multiLevelType w:val="hybridMultilevel"/>
    <w:tmpl w:val="788C33BE"/>
    <w:lvl w:ilvl="0" w:tplc="70FAC72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354FCF4">
      <w:numFmt w:val="bullet"/>
      <w:lvlText w:val="•"/>
      <w:lvlJc w:val="left"/>
      <w:pPr>
        <w:ind w:left="1492" w:hanging="361"/>
      </w:pPr>
      <w:rPr>
        <w:rFonts w:hint="default"/>
        <w:lang w:val="en-US" w:eastAsia="en-US" w:bidi="ar-SA"/>
      </w:rPr>
    </w:lvl>
    <w:lvl w:ilvl="2" w:tplc="BDE2F964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3" w:tplc="FAA2CF4E"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4" w:tplc="8C9497C6">
      <w:numFmt w:val="bullet"/>
      <w:lvlText w:val="•"/>
      <w:lvlJc w:val="left"/>
      <w:pPr>
        <w:ind w:left="3509" w:hanging="361"/>
      </w:pPr>
      <w:rPr>
        <w:rFonts w:hint="default"/>
        <w:lang w:val="en-US" w:eastAsia="en-US" w:bidi="ar-SA"/>
      </w:rPr>
    </w:lvl>
    <w:lvl w:ilvl="5" w:tplc="03541DB4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ar-SA"/>
      </w:rPr>
    </w:lvl>
    <w:lvl w:ilvl="6" w:tplc="E2B4AA62">
      <w:numFmt w:val="bullet"/>
      <w:lvlText w:val="•"/>
      <w:lvlJc w:val="left"/>
      <w:pPr>
        <w:ind w:left="4854" w:hanging="361"/>
      </w:pPr>
      <w:rPr>
        <w:rFonts w:hint="default"/>
        <w:lang w:val="en-US" w:eastAsia="en-US" w:bidi="ar-SA"/>
      </w:rPr>
    </w:lvl>
    <w:lvl w:ilvl="7" w:tplc="18806BC0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ar-SA"/>
      </w:rPr>
    </w:lvl>
    <w:lvl w:ilvl="8" w:tplc="33FEEDE6">
      <w:numFmt w:val="bullet"/>
      <w:lvlText w:val="•"/>
      <w:lvlJc w:val="left"/>
      <w:pPr>
        <w:ind w:left="619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D600A1B"/>
    <w:multiLevelType w:val="hybridMultilevel"/>
    <w:tmpl w:val="A1D018FA"/>
    <w:lvl w:ilvl="0" w:tplc="A8184BA2">
      <w:numFmt w:val="bullet"/>
      <w:lvlText w:val="•"/>
      <w:lvlJc w:val="left"/>
      <w:pPr>
        <w:ind w:left="401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F5AA0F6C">
      <w:numFmt w:val="bullet"/>
      <w:lvlText w:val="•"/>
      <w:lvlJc w:val="left"/>
      <w:pPr>
        <w:ind w:left="948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2" w:tplc="E662EE6C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3" w:tplc="628E3EEE">
      <w:numFmt w:val="bullet"/>
      <w:lvlText w:val="•"/>
      <w:lvlJc w:val="left"/>
      <w:pPr>
        <w:ind w:left="1390" w:hanging="180"/>
      </w:pPr>
      <w:rPr>
        <w:rFonts w:hint="default"/>
        <w:lang w:val="en-US" w:eastAsia="en-US" w:bidi="ar-SA"/>
      </w:rPr>
    </w:lvl>
    <w:lvl w:ilvl="4" w:tplc="C2E0A9F0">
      <w:numFmt w:val="bullet"/>
      <w:lvlText w:val="•"/>
      <w:lvlJc w:val="left"/>
      <w:pPr>
        <w:ind w:left="1615" w:hanging="180"/>
      </w:pPr>
      <w:rPr>
        <w:rFonts w:hint="default"/>
        <w:lang w:val="en-US" w:eastAsia="en-US" w:bidi="ar-SA"/>
      </w:rPr>
    </w:lvl>
    <w:lvl w:ilvl="5" w:tplc="E116C9B4">
      <w:numFmt w:val="bullet"/>
      <w:lvlText w:val="•"/>
      <w:lvlJc w:val="left"/>
      <w:pPr>
        <w:ind w:left="1840" w:hanging="180"/>
      </w:pPr>
      <w:rPr>
        <w:rFonts w:hint="default"/>
        <w:lang w:val="en-US" w:eastAsia="en-US" w:bidi="ar-SA"/>
      </w:rPr>
    </w:lvl>
    <w:lvl w:ilvl="6" w:tplc="7FBE36BA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ar-SA"/>
      </w:rPr>
    </w:lvl>
    <w:lvl w:ilvl="7" w:tplc="053632CE">
      <w:numFmt w:val="bullet"/>
      <w:lvlText w:val="•"/>
      <w:lvlJc w:val="left"/>
      <w:pPr>
        <w:ind w:left="2291" w:hanging="180"/>
      </w:pPr>
      <w:rPr>
        <w:rFonts w:hint="default"/>
        <w:lang w:val="en-US" w:eastAsia="en-US" w:bidi="ar-SA"/>
      </w:rPr>
    </w:lvl>
    <w:lvl w:ilvl="8" w:tplc="9AD43124">
      <w:numFmt w:val="bullet"/>
      <w:lvlText w:val="•"/>
      <w:lvlJc w:val="left"/>
      <w:pPr>
        <w:ind w:left="2516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2F30071C"/>
    <w:multiLevelType w:val="hybridMultilevel"/>
    <w:tmpl w:val="FC24B820"/>
    <w:lvl w:ilvl="0" w:tplc="514A0930">
      <w:numFmt w:val="bullet"/>
      <w:lvlText w:val="-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BCAA45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4086BF12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9182B122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08B2DA90"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 w:tplc="7C22C60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26CE2F02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EF66CB7A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88046D8C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431DF1"/>
    <w:multiLevelType w:val="hybridMultilevel"/>
    <w:tmpl w:val="9FB8EC9A"/>
    <w:lvl w:ilvl="0" w:tplc="4D701D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F4C5BD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DD2ECDB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0412686E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B8A89F12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21041C5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7F0EE0C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9AE23818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69AA1A2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65E653A"/>
    <w:multiLevelType w:val="hybridMultilevel"/>
    <w:tmpl w:val="5188521C"/>
    <w:lvl w:ilvl="0" w:tplc="8E0E440E">
      <w:start w:val="1"/>
      <w:numFmt w:val="lowerLetter"/>
      <w:lvlText w:val="%1)"/>
      <w:lvlJc w:val="left"/>
      <w:pPr>
        <w:ind w:left="827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5866ABB0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1E8AD582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90663BC0"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4" w:tplc="9D5EACD2">
      <w:numFmt w:val="bullet"/>
      <w:lvlText w:val="•"/>
      <w:lvlJc w:val="left"/>
      <w:pPr>
        <w:ind w:left="3881" w:hanging="360"/>
      </w:pPr>
      <w:rPr>
        <w:rFonts w:hint="default"/>
        <w:lang w:val="en-US" w:eastAsia="en-US" w:bidi="ar-SA"/>
      </w:rPr>
    </w:lvl>
    <w:lvl w:ilvl="5" w:tplc="75BC2F12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6" w:tplc="37FE7C06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7" w:tplc="7D06CB10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8" w:tplc="AB3816BE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66F7380"/>
    <w:multiLevelType w:val="hybridMultilevel"/>
    <w:tmpl w:val="B1F0D8D8"/>
    <w:lvl w:ilvl="0" w:tplc="59F8D3E8">
      <w:numFmt w:val="bullet"/>
      <w:lvlText w:val="•"/>
      <w:lvlJc w:val="left"/>
      <w:pPr>
        <w:ind w:left="379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09D2103A">
      <w:numFmt w:val="bullet"/>
      <w:lvlText w:val="•"/>
      <w:lvlJc w:val="left"/>
      <w:pPr>
        <w:ind w:left="1126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2" w:tplc="DC482FB6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ar-SA"/>
      </w:rPr>
    </w:lvl>
    <w:lvl w:ilvl="3" w:tplc="DB5E33FA">
      <w:numFmt w:val="bullet"/>
      <w:lvlText w:val="•"/>
      <w:lvlJc w:val="left"/>
      <w:pPr>
        <w:ind w:left="1608" w:hanging="180"/>
      </w:pPr>
      <w:rPr>
        <w:rFonts w:hint="default"/>
        <w:lang w:val="en-US" w:eastAsia="en-US" w:bidi="ar-SA"/>
      </w:rPr>
    </w:lvl>
    <w:lvl w:ilvl="4" w:tplc="4E0C807E">
      <w:numFmt w:val="bullet"/>
      <w:lvlText w:val="•"/>
      <w:lvlJc w:val="left"/>
      <w:pPr>
        <w:ind w:left="1852" w:hanging="180"/>
      </w:pPr>
      <w:rPr>
        <w:rFonts w:hint="default"/>
        <w:lang w:val="en-US" w:eastAsia="en-US" w:bidi="ar-SA"/>
      </w:rPr>
    </w:lvl>
    <w:lvl w:ilvl="5" w:tplc="09B81B84">
      <w:numFmt w:val="bullet"/>
      <w:lvlText w:val="•"/>
      <w:lvlJc w:val="left"/>
      <w:pPr>
        <w:ind w:left="2096" w:hanging="180"/>
      </w:pPr>
      <w:rPr>
        <w:rFonts w:hint="default"/>
        <w:lang w:val="en-US" w:eastAsia="en-US" w:bidi="ar-SA"/>
      </w:rPr>
    </w:lvl>
    <w:lvl w:ilvl="6" w:tplc="E8303B6E">
      <w:numFmt w:val="bullet"/>
      <w:lvlText w:val="•"/>
      <w:lvlJc w:val="left"/>
      <w:pPr>
        <w:ind w:left="2340" w:hanging="180"/>
      </w:pPr>
      <w:rPr>
        <w:rFonts w:hint="default"/>
        <w:lang w:val="en-US" w:eastAsia="en-US" w:bidi="ar-SA"/>
      </w:rPr>
    </w:lvl>
    <w:lvl w:ilvl="7" w:tplc="743C8D3C">
      <w:numFmt w:val="bullet"/>
      <w:lvlText w:val="•"/>
      <w:lvlJc w:val="left"/>
      <w:pPr>
        <w:ind w:left="2584" w:hanging="180"/>
      </w:pPr>
      <w:rPr>
        <w:rFonts w:hint="default"/>
        <w:lang w:val="en-US" w:eastAsia="en-US" w:bidi="ar-SA"/>
      </w:rPr>
    </w:lvl>
    <w:lvl w:ilvl="8" w:tplc="B7109948">
      <w:numFmt w:val="bullet"/>
      <w:lvlText w:val="•"/>
      <w:lvlJc w:val="left"/>
      <w:pPr>
        <w:ind w:left="2828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3AD24BFE"/>
    <w:multiLevelType w:val="hybridMultilevel"/>
    <w:tmpl w:val="030C33F6"/>
    <w:lvl w:ilvl="0" w:tplc="BD68E802">
      <w:numFmt w:val="bullet"/>
      <w:lvlText w:val="•"/>
      <w:lvlJc w:val="left"/>
      <w:pPr>
        <w:ind w:left="401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2DF0A732">
      <w:numFmt w:val="bullet"/>
      <w:lvlText w:val="•"/>
      <w:lvlJc w:val="left"/>
      <w:pPr>
        <w:ind w:left="948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2" w:tplc="ADA29F6A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3" w:tplc="3202F0BC">
      <w:numFmt w:val="bullet"/>
      <w:lvlText w:val="•"/>
      <w:lvlJc w:val="left"/>
      <w:pPr>
        <w:ind w:left="1390" w:hanging="180"/>
      </w:pPr>
      <w:rPr>
        <w:rFonts w:hint="default"/>
        <w:lang w:val="en-US" w:eastAsia="en-US" w:bidi="ar-SA"/>
      </w:rPr>
    </w:lvl>
    <w:lvl w:ilvl="4" w:tplc="13202B24">
      <w:numFmt w:val="bullet"/>
      <w:lvlText w:val="•"/>
      <w:lvlJc w:val="left"/>
      <w:pPr>
        <w:ind w:left="1615" w:hanging="180"/>
      </w:pPr>
      <w:rPr>
        <w:rFonts w:hint="default"/>
        <w:lang w:val="en-US" w:eastAsia="en-US" w:bidi="ar-SA"/>
      </w:rPr>
    </w:lvl>
    <w:lvl w:ilvl="5" w:tplc="8864F3F8">
      <w:numFmt w:val="bullet"/>
      <w:lvlText w:val="•"/>
      <w:lvlJc w:val="left"/>
      <w:pPr>
        <w:ind w:left="1840" w:hanging="180"/>
      </w:pPr>
      <w:rPr>
        <w:rFonts w:hint="default"/>
        <w:lang w:val="en-US" w:eastAsia="en-US" w:bidi="ar-SA"/>
      </w:rPr>
    </w:lvl>
    <w:lvl w:ilvl="6" w:tplc="09BCCED0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ar-SA"/>
      </w:rPr>
    </w:lvl>
    <w:lvl w:ilvl="7" w:tplc="8DC0AA36">
      <w:numFmt w:val="bullet"/>
      <w:lvlText w:val="•"/>
      <w:lvlJc w:val="left"/>
      <w:pPr>
        <w:ind w:left="2291" w:hanging="180"/>
      </w:pPr>
      <w:rPr>
        <w:rFonts w:hint="default"/>
        <w:lang w:val="en-US" w:eastAsia="en-US" w:bidi="ar-SA"/>
      </w:rPr>
    </w:lvl>
    <w:lvl w:ilvl="8" w:tplc="77B24D7E">
      <w:numFmt w:val="bullet"/>
      <w:lvlText w:val="•"/>
      <w:lvlJc w:val="left"/>
      <w:pPr>
        <w:ind w:left="2516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3ECB2E93"/>
    <w:multiLevelType w:val="hybridMultilevel"/>
    <w:tmpl w:val="E5D6EB3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7579A"/>
    <w:multiLevelType w:val="hybridMultilevel"/>
    <w:tmpl w:val="05585626"/>
    <w:lvl w:ilvl="0" w:tplc="6E9A93E8">
      <w:numFmt w:val="bullet"/>
      <w:lvlText w:val="•"/>
      <w:lvlJc w:val="left"/>
      <w:pPr>
        <w:ind w:left="827" w:hanging="360"/>
      </w:pPr>
      <w:rPr>
        <w:rFonts w:hint="default"/>
        <w:spacing w:val="-3"/>
        <w:w w:val="100"/>
        <w:lang w:val="en-US" w:eastAsia="en-US" w:bidi="ar-SA"/>
      </w:rPr>
    </w:lvl>
    <w:lvl w:ilvl="1" w:tplc="95880D5A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A9F81DCE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 w:tplc="EC786900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4" w:tplc="95566DAA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5" w:tplc="A0405D40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  <w:lvl w:ilvl="6" w:tplc="EBA60640">
      <w:numFmt w:val="bullet"/>
      <w:lvlText w:val="•"/>
      <w:lvlJc w:val="left"/>
      <w:pPr>
        <w:ind w:left="5986" w:hanging="360"/>
      </w:pPr>
      <w:rPr>
        <w:rFonts w:hint="default"/>
        <w:lang w:val="en-US" w:eastAsia="en-US" w:bidi="ar-SA"/>
      </w:rPr>
    </w:lvl>
    <w:lvl w:ilvl="7" w:tplc="301ACC98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ar-SA"/>
      </w:rPr>
    </w:lvl>
    <w:lvl w:ilvl="8" w:tplc="9DF8C5C2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D4D4A42"/>
    <w:multiLevelType w:val="hybridMultilevel"/>
    <w:tmpl w:val="F41C6B10"/>
    <w:lvl w:ilvl="0" w:tplc="C038D192">
      <w:numFmt w:val="bullet"/>
      <w:lvlText w:val=""/>
      <w:lvlJc w:val="left"/>
      <w:pPr>
        <w:ind w:left="273" w:hanging="166"/>
      </w:pPr>
      <w:rPr>
        <w:rFonts w:hint="default"/>
        <w:w w:val="99"/>
        <w:lang w:val="en-US" w:eastAsia="en-US" w:bidi="ar-SA"/>
      </w:rPr>
    </w:lvl>
    <w:lvl w:ilvl="1" w:tplc="5AB8B95C">
      <w:numFmt w:val="bullet"/>
      <w:lvlText w:val="•"/>
      <w:lvlJc w:val="left"/>
      <w:pPr>
        <w:ind w:left="1200" w:hanging="166"/>
      </w:pPr>
      <w:rPr>
        <w:rFonts w:hint="default"/>
        <w:lang w:val="en-US" w:eastAsia="en-US" w:bidi="ar-SA"/>
      </w:rPr>
    </w:lvl>
    <w:lvl w:ilvl="2" w:tplc="7F9AAC20">
      <w:numFmt w:val="bullet"/>
      <w:lvlText w:val="•"/>
      <w:lvlJc w:val="left"/>
      <w:pPr>
        <w:ind w:left="2121" w:hanging="166"/>
      </w:pPr>
      <w:rPr>
        <w:rFonts w:hint="default"/>
        <w:lang w:val="en-US" w:eastAsia="en-US" w:bidi="ar-SA"/>
      </w:rPr>
    </w:lvl>
    <w:lvl w:ilvl="3" w:tplc="E780A986">
      <w:numFmt w:val="bullet"/>
      <w:lvlText w:val="•"/>
      <w:lvlJc w:val="left"/>
      <w:pPr>
        <w:ind w:left="3041" w:hanging="166"/>
      </w:pPr>
      <w:rPr>
        <w:rFonts w:hint="default"/>
        <w:lang w:val="en-US" w:eastAsia="en-US" w:bidi="ar-SA"/>
      </w:rPr>
    </w:lvl>
    <w:lvl w:ilvl="4" w:tplc="035A0EFA">
      <w:numFmt w:val="bullet"/>
      <w:lvlText w:val="•"/>
      <w:lvlJc w:val="left"/>
      <w:pPr>
        <w:ind w:left="3962" w:hanging="166"/>
      </w:pPr>
      <w:rPr>
        <w:rFonts w:hint="default"/>
        <w:lang w:val="en-US" w:eastAsia="en-US" w:bidi="ar-SA"/>
      </w:rPr>
    </w:lvl>
    <w:lvl w:ilvl="5" w:tplc="EFC604D8">
      <w:numFmt w:val="bullet"/>
      <w:lvlText w:val="•"/>
      <w:lvlJc w:val="left"/>
      <w:pPr>
        <w:ind w:left="4883" w:hanging="166"/>
      </w:pPr>
      <w:rPr>
        <w:rFonts w:hint="default"/>
        <w:lang w:val="en-US" w:eastAsia="en-US" w:bidi="ar-SA"/>
      </w:rPr>
    </w:lvl>
    <w:lvl w:ilvl="6" w:tplc="194E2A28">
      <w:numFmt w:val="bullet"/>
      <w:lvlText w:val="•"/>
      <w:lvlJc w:val="left"/>
      <w:pPr>
        <w:ind w:left="5803" w:hanging="166"/>
      </w:pPr>
      <w:rPr>
        <w:rFonts w:hint="default"/>
        <w:lang w:val="en-US" w:eastAsia="en-US" w:bidi="ar-SA"/>
      </w:rPr>
    </w:lvl>
    <w:lvl w:ilvl="7" w:tplc="C1CC6676">
      <w:numFmt w:val="bullet"/>
      <w:lvlText w:val="•"/>
      <w:lvlJc w:val="left"/>
      <w:pPr>
        <w:ind w:left="6724" w:hanging="166"/>
      </w:pPr>
      <w:rPr>
        <w:rFonts w:hint="default"/>
        <w:lang w:val="en-US" w:eastAsia="en-US" w:bidi="ar-SA"/>
      </w:rPr>
    </w:lvl>
    <w:lvl w:ilvl="8" w:tplc="13309818">
      <w:numFmt w:val="bullet"/>
      <w:lvlText w:val="•"/>
      <w:lvlJc w:val="left"/>
      <w:pPr>
        <w:ind w:left="7644" w:hanging="166"/>
      </w:pPr>
      <w:rPr>
        <w:rFonts w:hint="default"/>
        <w:lang w:val="en-US" w:eastAsia="en-US" w:bidi="ar-SA"/>
      </w:rPr>
    </w:lvl>
  </w:abstractNum>
  <w:abstractNum w:abstractNumId="17" w15:restartNumberingAfterBreak="0">
    <w:nsid w:val="51352E2E"/>
    <w:multiLevelType w:val="hybridMultilevel"/>
    <w:tmpl w:val="87AAF6DC"/>
    <w:lvl w:ilvl="0" w:tplc="EA380D9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5E9768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025AAA1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CCB6F6AC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BE86908E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FD543B3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9F0AC646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22020A6A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C1D81C6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880021A"/>
    <w:multiLevelType w:val="hybridMultilevel"/>
    <w:tmpl w:val="A6243A78"/>
    <w:lvl w:ilvl="0" w:tplc="5A88763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6C5C54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6C1832BE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132CC608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C71E459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CC4E5D1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537641B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718097AC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21FC299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B0B7161"/>
    <w:multiLevelType w:val="hybridMultilevel"/>
    <w:tmpl w:val="CB2027C0"/>
    <w:lvl w:ilvl="0" w:tplc="58D455F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78772A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F2D6A3A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18A86600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98686D9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7DF20FDE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3DE6E980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8C3E923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E98E81B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DF12A1C"/>
    <w:multiLevelType w:val="hybridMultilevel"/>
    <w:tmpl w:val="5FD600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E0774"/>
    <w:multiLevelType w:val="hybridMultilevel"/>
    <w:tmpl w:val="47283AA8"/>
    <w:lvl w:ilvl="0" w:tplc="BE8A28E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0C282E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F14EEE9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57E42D0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C054C7B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2D9AC0F4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FE7C759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F03E454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28C801D4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ECB4011"/>
    <w:multiLevelType w:val="hybridMultilevel"/>
    <w:tmpl w:val="3AF6635C"/>
    <w:lvl w:ilvl="0" w:tplc="5FBE8198">
      <w:numFmt w:val="bullet"/>
      <w:lvlText w:val="•"/>
      <w:lvlJc w:val="left"/>
      <w:pPr>
        <w:ind w:left="543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43706CB6">
      <w:numFmt w:val="bullet"/>
      <w:lvlText w:val="•"/>
      <w:lvlJc w:val="left"/>
      <w:pPr>
        <w:ind w:left="1289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2" w:tplc="F7E6EDC0">
      <w:numFmt w:val="bullet"/>
      <w:lvlText w:val="•"/>
      <w:lvlJc w:val="left"/>
      <w:pPr>
        <w:ind w:left="1542" w:hanging="180"/>
      </w:pPr>
      <w:rPr>
        <w:rFonts w:hint="default"/>
        <w:lang w:val="en-US" w:eastAsia="en-US" w:bidi="ar-SA"/>
      </w:rPr>
    </w:lvl>
    <w:lvl w:ilvl="3" w:tplc="9D7AC940">
      <w:numFmt w:val="bullet"/>
      <w:lvlText w:val="•"/>
      <w:lvlJc w:val="left"/>
      <w:pPr>
        <w:ind w:left="1805" w:hanging="180"/>
      </w:pPr>
      <w:rPr>
        <w:rFonts w:hint="default"/>
        <w:lang w:val="en-US" w:eastAsia="en-US" w:bidi="ar-SA"/>
      </w:rPr>
    </w:lvl>
    <w:lvl w:ilvl="4" w:tplc="3FC271C8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ar-SA"/>
      </w:rPr>
    </w:lvl>
    <w:lvl w:ilvl="5" w:tplc="7AACA714">
      <w:numFmt w:val="bullet"/>
      <w:lvlText w:val="•"/>
      <w:lvlJc w:val="left"/>
      <w:pPr>
        <w:ind w:left="2331" w:hanging="180"/>
      </w:pPr>
      <w:rPr>
        <w:rFonts w:hint="default"/>
        <w:lang w:val="en-US" w:eastAsia="en-US" w:bidi="ar-SA"/>
      </w:rPr>
    </w:lvl>
    <w:lvl w:ilvl="6" w:tplc="57CCB5D8">
      <w:numFmt w:val="bullet"/>
      <w:lvlText w:val="•"/>
      <w:lvlJc w:val="left"/>
      <w:pPr>
        <w:ind w:left="2594" w:hanging="180"/>
      </w:pPr>
      <w:rPr>
        <w:rFonts w:hint="default"/>
        <w:lang w:val="en-US" w:eastAsia="en-US" w:bidi="ar-SA"/>
      </w:rPr>
    </w:lvl>
    <w:lvl w:ilvl="7" w:tplc="CF6E466A">
      <w:numFmt w:val="bullet"/>
      <w:lvlText w:val="•"/>
      <w:lvlJc w:val="left"/>
      <w:pPr>
        <w:ind w:left="2857" w:hanging="180"/>
      </w:pPr>
      <w:rPr>
        <w:rFonts w:hint="default"/>
        <w:lang w:val="en-US" w:eastAsia="en-US" w:bidi="ar-SA"/>
      </w:rPr>
    </w:lvl>
    <w:lvl w:ilvl="8" w:tplc="E46A7C72">
      <w:numFmt w:val="bullet"/>
      <w:lvlText w:val="•"/>
      <w:lvlJc w:val="left"/>
      <w:pPr>
        <w:ind w:left="3120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6ED94CE4"/>
    <w:multiLevelType w:val="hybridMultilevel"/>
    <w:tmpl w:val="107A9518"/>
    <w:lvl w:ilvl="0" w:tplc="294812A4">
      <w:start w:val="1"/>
      <w:numFmt w:val="lowerLetter"/>
      <w:lvlText w:val="%1)"/>
      <w:lvlJc w:val="left"/>
      <w:pPr>
        <w:ind w:left="827" w:hanging="360"/>
      </w:pPr>
      <w:rPr>
        <w:rFonts w:ascii="Carlito" w:eastAsia="Carlito" w:hAnsi="Carlito" w:cs="Carlito" w:hint="default"/>
        <w:b/>
        <w:bCs/>
        <w:color w:val="2D74B5"/>
        <w:spacing w:val="-1"/>
        <w:w w:val="100"/>
        <w:sz w:val="22"/>
        <w:szCs w:val="22"/>
        <w:lang w:val="en-US" w:eastAsia="en-US" w:bidi="ar-SA"/>
      </w:rPr>
    </w:lvl>
    <w:lvl w:ilvl="1" w:tplc="8544E330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3E04ACDA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3" w:tplc="D12C2CF8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7FBE439E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ar-SA"/>
      </w:rPr>
    </w:lvl>
    <w:lvl w:ilvl="5" w:tplc="80023D88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0C38325A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7" w:tplc="F17A557E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27D21E16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09E1F53"/>
    <w:multiLevelType w:val="hybridMultilevel"/>
    <w:tmpl w:val="DF348110"/>
    <w:lvl w:ilvl="0" w:tplc="C8A4E3AA">
      <w:numFmt w:val="bullet"/>
      <w:lvlText w:val="•"/>
      <w:lvlJc w:val="left"/>
      <w:pPr>
        <w:ind w:left="401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88047370">
      <w:numFmt w:val="bullet"/>
      <w:lvlText w:val="•"/>
      <w:lvlJc w:val="left"/>
      <w:pPr>
        <w:ind w:left="948" w:hanging="18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2" w:tplc="EF1462E2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3" w:tplc="D9A64B9C">
      <w:numFmt w:val="bullet"/>
      <w:lvlText w:val="•"/>
      <w:lvlJc w:val="left"/>
      <w:pPr>
        <w:ind w:left="1390" w:hanging="180"/>
      </w:pPr>
      <w:rPr>
        <w:rFonts w:hint="default"/>
        <w:lang w:val="en-US" w:eastAsia="en-US" w:bidi="ar-SA"/>
      </w:rPr>
    </w:lvl>
    <w:lvl w:ilvl="4" w:tplc="0A9C6A24">
      <w:numFmt w:val="bullet"/>
      <w:lvlText w:val="•"/>
      <w:lvlJc w:val="left"/>
      <w:pPr>
        <w:ind w:left="1615" w:hanging="180"/>
      </w:pPr>
      <w:rPr>
        <w:rFonts w:hint="default"/>
        <w:lang w:val="en-US" w:eastAsia="en-US" w:bidi="ar-SA"/>
      </w:rPr>
    </w:lvl>
    <w:lvl w:ilvl="5" w:tplc="4AE6C120">
      <w:numFmt w:val="bullet"/>
      <w:lvlText w:val="•"/>
      <w:lvlJc w:val="left"/>
      <w:pPr>
        <w:ind w:left="1840" w:hanging="180"/>
      </w:pPr>
      <w:rPr>
        <w:rFonts w:hint="default"/>
        <w:lang w:val="en-US" w:eastAsia="en-US" w:bidi="ar-SA"/>
      </w:rPr>
    </w:lvl>
    <w:lvl w:ilvl="6" w:tplc="A316066C">
      <w:numFmt w:val="bullet"/>
      <w:lvlText w:val="•"/>
      <w:lvlJc w:val="left"/>
      <w:pPr>
        <w:ind w:left="2066" w:hanging="180"/>
      </w:pPr>
      <w:rPr>
        <w:rFonts w:hint="default"/>
        <w:lang w:val="en-US" w:eastAsia="en-US" w:bidi="ar-SA"/>
      </w:rPr>
    </w:lvl>
    <w:lvl w:ilvl="7" w:tplc="BE58AEB6">
      <w:numFmt w:val="bullet"/>
      <w:lvlText w:val="•"/>
      <w:lvlJc w:val="left"/>
      <w:pPr>
        <w:ind w:left="2291" w:hanging="180"/>
      </w:pPr>
      <w:rPr>
        <w:rFonts w:hint="default"/>
        <w:lang w:val="en-US" w:eastAsia="en-US" w:bidi="ar-SA"/>
      </w:rPr>
    </w:lvl>
    <w:lvl w:ilvl="8" w:tplc="EC7AAF92">
      <w:numFmt w:val="bullet"/>
      <w:lvlText w:val="•"/>
      <w:lvlJc w:val="left"/>
      <w:pPr>
        <w:ind w:left="2516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73280632"/>
    <w:multiLevelType w:val="hybridMultilevel"/>
    <w:tmpl w:val="C598F8D6"/>
    <w:lvl w:ilvl="0" w:tplc="D0222A88">
      <w:numFmt w:val="bullet"/>
      <w:lvlText w:val="•"/>
      <w:lvlJc w:val="left"/>
      <w:pPr>
        <w:ind w:left="826" w:hanging="360"/>
      </w:pPr>
      <w:rPr>
        <w:rFonts w:ascii="Carlito" w:eastAsia="Carlito" w:hAnsi="Carlito" w:cs="Carlito" w:hint="default"/>
        <w:w w:val="99"/>
        <w:sz w:val="20"/>
        <w:szCs w:val="20"/>
        <w:lang w:val="en-US" w:eastAsia="en-US" w:bidi="ar-SA"/>
      </w:rPr>
    </w:lvl>
    <w:lvl w:ilvl="1" w:tplc="F9CCCE8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E1E6B88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A7D88CF2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86B0AE4E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912824AC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48F2FE62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C1A8DA08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018EF00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5E110AC"/>
    <w:multiLevelType w:val="hybridMultilevel"/>
    <w:tmpl w:val="88942E24"/>
    <w:lvl w:ilvl="0" w:tplc="961C511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C4846C2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2" w:tplc="0522568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74EAD606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4DA2C45A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5" w:tplc="5274A1C2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3FD4F2E4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ar-SA"/>
      </w:rPr>
    </w:lvl>
    <w:lvl w:ilvl="7" w:tplc="A2D40BE4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8" w:tplc="797879F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9"/>
  </w:num>
  <w:num w:numId="6">
    <w:abstractNumId w:val="24"/>
  </w:num>
  <w:num w:numId="7">
    <w:abstractNumId w:val="26"/>
  </w:num>
  <w:num w:numId="8">
    <w:abstractNumId w:val="13"/>
  </w:num>
  <w:num w:numId="9">
    <w:abstractNumId w:val="10"/>
  </w:num>
  <w:num w:numId="10">
    <w:abstractNumId w:val="2"/>
  </w:num>
  <w:num w:numId="11">
    <w:abstractNumId w:val="18"/>
  </w:num>
  <w:num w:numId="12">
    <w:abstractNumId w:val="22"/>
  </w:num>
  <w:num w:numId="13">
    <w:abstractNumId w:val="17"/>
  </w:num>
  <w:num w:numId="14">
    <w:abstractNumId w:val="12"/>
  </w:num>
  <w:num w:numId="15">
    <w:abstractNumId w:val="25"/>
  </w:num>
  <w:num w:numId="16">
    <w:abstractNumId w:val="21"/>
  </w:num>
  <w:num w:numId="17">
    <w:abstractNumId w:val="16"/>
  </w:num>
  <w:num w:numId="18">
    <w:abstractNumId w:val="11"/>
  </w:num>
  <w:num w:numId="19">
    <w:abstractNumId w:val="23"/>
  </w:num>
  <w:num w:numId="20">
    <w:abstractNumId w:val="15"/>
  </w:num>
  <w:num w:numId="21">
    <w:abstractNumId w:val="9"/>
  </w:num>
  <w:num w:numId="22">
    <w:abstractNumId w:val="1"/>
  </w:num>
  <w:num w:numId="23">
    <w:abstractNumId w:val="14"/>
  </w:num>
  <w:num w:numId="24">
    <w:abstractNumId w:val="0"/>
  </w:num>
  <w:num w:numId="25">
    <w:abstractNumId w:val="3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13"/>
    <w:rsid w:val="000B73E4"/>
    <w:rsid w:val="00102AE5"/>
    <w:rsid w:val="00140E6E"/>
    <w:rsid w:val="00147F01"/>
    <w:rsid w:val="0016446D"/>
    <w:rsid w:val="001744DE"/>
    <w:rsid w:val="001C0E1C"/>
    <w:rsid w:val="001E38D4"/>
    <w:rsid w:val="00260A44"/>
    <w:rsid w:val="0027761C"/>
    <w:rsid w:val="002D6E52"/>
    <w:rsid w:val="002E47D4"/>
    <w:rsid w:val="003A695F"/>
    <w:rsid w:val="004349E3"/>
    <w:rsid w:val="004F0813"/>
    <w:rsid w:val="004F55FB"/>
    <w:rsid w:val="00571147"/>
    <w:rsid w:val="00605087"/>
    <w:rsid w:val="0063602F"/>
    <w:rsid w:val="00677DC8"/>
    <w:rsid w:val="007114A8"/>
    <w:rsid w:val="0074580F"/>
    <w:rsid w:val="0074709E"/>
    <w:rsid w:val="008846FF"/>
    <w:rsid w:val="008B0415"/>
    <w:rsid w:val="008F0974"/>
    <w:rsid w:val="009B460E"/>
    <w:rsid w:val="009D49A1"/>
    <w:rsid w:val="00A075CE"/>
    <w:rsid w:val="00B41D3E"/>
    <w:rsid w:val="00C0259C"/>
    <w:rsid w:val="00C53E76"/>
    <w:rsid w:val="00D1414C"/>
    <w:rsid w:val="00D365E4"/>
    <w:rsid w:val="00D56948"/>
    <w:rsid w:val="00DB0FCA"/>
    <w:rsid w:val="00DF42A7"/>
    <w:rsid w:val="00E13ADD"/>
    <w:rsid w:val="00E27FC0"/>
    <w:rsid w:val="00E807EE"/>
    <w:rsid w:val="00EA4F4F"/>
    <w:rsid w:val="00F9694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646A"/>
  <w15:docId w15:val="{82279E4F-D756-4E30-897D-5E9FA897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0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E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80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E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21</cp:revision>
  <dcterms:created xsi:type="dcterms:W3CDTF">2021-12-24T05:19:00Z</dcterms:created>
  <dcterms:modified xsi:type="dcterms:W3CDTF">2022-01-14T07:21:00Z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2021-12-23T00:00:00Z</vt:filetime>
  </property>
</Properties>
</file>